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97a AufenthG 2004 — Geheimhaltungspflichten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22.08.2019 (konsolidierte Textfassung, kein amtliches Inkrafttretensdatum)</w:t>
      </w:r>
    </w:p>
    <w:p>
      <w:r>
        <w:t xml:space="preserve">Informationen zum konkreten Ablauf einer Abschiebung, insbesondere Informationen nach § 59 Absatz 1 Satz 8 sind Geheimnisse oder Nachrichten nach § 353b Absatz 1 oder Absatz 2 des Strafgesetzbuches. Gleiches gilt für Informationen zum konkreten Ablauf, insbesondere zum Zeitpunkt von Anordnungen nach § 82 Absatz 4 Satz 1.</w:t>
      </w:r>
    </w:p>
    <w:p>
      <w:r>
        <w:rPr>
          <w:color w:val="555555"/>
          <w:sz w:val="17"/>
        </w:rPr>
        <w:t xml:space="preserve">Zitiervorschlag: § 97a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https://recht.nulegal.eu/gesetze/AufenthG%202004/97a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