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97 AufenthG 2004 — Einschleusen mit Todesfolge; gewerbs- und bandenmäßiges Einschleusen</w:t>
      </w:r>
    </w:p>
    <w:p>
      <w:r>
        <w:rPr>
          <w:color w:val="555555"/>
          <w:sz w:val="18"/>
        </w:rPr>
        <w:t xml:space="preserve">Aufenthaltsgesetz</w:t>
      </w:r>
    </w:p>
    <w:p>
      <w:r>
        <w:rPr>
          <w:color w:val="555555"/>
          <w:sz w:val="18"/>
        </w:rPr>
        <w:t xml:space="preserve">Stand: 29.02.2024 (konsolidierte Textfassung, kein amtliches Inkrafttretensdatum)</w:t>
      </w:r>
    </w:p>
    <w:p>
      <w:r>
        <w:t xml:space="preserve">(1) Mit Freiheitsstrafe nicht unter fünf Jahren wird bestraft, wer in den Fällen des § 96 Abs. 1, auch in Verbindung mit § 96 Abs. 4, den Tod eines anderen Menschen verursacht. Wird in den Fällen des § 96 Absatz 1, auch in Verbindung mit § 96 Absatz 4, der Tod eines anderen Menschen wenigstens leichtfertig verursacht, ist die Strafe lebenslange Freiheitsstrafe oder Freiheitsstrafe nicht unter zehn Jahren.</w:t>
      </w:r>
    </w:p>
    <w:p>
      <w:r>
        <w:t xml:space="preserve">(2) Mit Freiheitsstrafe nicht unter drei Jahren wird bestraft, wer in den Fällen des § 96 Abs. 1, auch in Verbindung mit § 96 Abs. 4, als Mitglied einer Bande, die sich zur fortgesetzten Begehung solcher Taten verbunden hat, gewerbsmäßig handelt.</w:t>
      </w:r>
    </w:p>
    <w:p>
      <w:r>
        <w:t xml:space="preserve">(3) In minder schweren Fällen des Absatzes 1 Satz 1 oder des Absatzes 2 ist die Strafe Freiheitsstrafe nicht unter einem Jahr.</w:t>
      </w:r>
    </w:p>
    <w:p>
      <w:r>
        <w:t xml:space="preserve">(4) § 74a des Strafgesetzbuches ist anzuwenden.</w:t>
      </w:r>
    </w:p>
    <w:p>
      <w:r>
        <w:rPr>
          <w:color w:val="555555"/>
          <w:sz w:val="17"/>
        </w:rPr>
        <w:t xml:space="preserve">Zitiervorschlag: § 97 AufenthG 2004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https://recht.nulegal.eu/gesetze/AufenthG%202004/97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