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95a AufenthG 2004 — Strafvorschriften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06.02.2026 (konsolidierte Textfassung, kein amtliches Inkrafttretensdatum)</w:t>
      </w:r>
    </w:p>
    <w:p>
      <w:r>
        <w:t xml:space="preserve">(1) Mit Freiheitsstrafe von drei Monaten bis zu fünf Jahren wird bestraft, wer entgegen § 14 Absatz 3 Satz 1 einem dort genannten Ausländer die Einreise in oder die Durchreise durch das Bundesgebiet ermöglicht.</w:t>
      </w:r>
    </w:p>
    <w:p>
      <w:r>
        <w:t xml:space="preserve">(2) Der Versuch ist strafbar.</w:t>
      </w:r>
    </w:p>
    <w:p>
      <w:r>
        <w:t xml:space="preserve">(3) Mit Freiheitsstrafe nicht unter einem Jahr wird bestraft, wer in den Fällen des Absatzes 1 gewerbsmäßig oder als Mitglied einer Bande handelt, die sich zur fortgesetzten Begehung solcher Taten verbunden hat.</w:t>
      </w:r>
    </w:p>
    <w:p>
      <w:r>
        <w:rPr>
          <w:color w:val="555555"/>
          <w:sz w:val="17"/>
        </w:rPr>
        <w:t xml:space="preserve">Zitiervorschlag: § 95a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