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AufenthG 2004 — Amtsbefugnisse</w:t>
      </w:r>
    </w:p>
    <w:p>
      <w:r>
        <w:rPr>
          <w:color w:val="555555"/>
          <w:sz w:val="18"/>
        </w:rPr>
        <w:t xml:space="preserve">Aufenthaltsgesetz</w:t>
      </w:r>
    </w:p>
    <w:p>
      <w:r>
        <w:rPr>
          <w:color w:val="555555"/>
          <w:sz w:val="18"/>
        </w:rPr>
        <w:t xml:space="preserve">Stand: 10.06.2019 (konsolidierte Textfassung, kein amtliches Inkrafttretensdatum)</w:t>
      </w:r>
    </w:p>
    <w:p>
      <w:r>
        <w:t xml:space="preserve">(1) Die Beauftragte wird bei Rechtsetzungsvorhaben der Bundesregierung oder einzelner Bundesministerien sowie bei sonstigen Angelegenheiten, die ihren Aufgabenbereich betreffen, möglichst frühzeitig beteiligt. Sie kann der Bundesregierung Vorschläge machen und Stellungnahmen zuleiten. Die Bundesministerien unterstützen die Beauftragte bei der Erfüllung ihrer Aufgaben.</w:t>
      </w:r>
    </w:p>
    <w:p>
      <w:r>
        <w:t xml:space="preserve">(2) Die Beauftragte für Migration, Flüchtlinge und Integration erstattet dem Deutschen Bundestag mindestens alle zwei Jahre einen Bericht.</w:t>
      </w:r>
    </w:p>
    <w:p>
      <w:r>
        <w:t xml:space="preserve">(3) Liegen der Beauftragten hinreichende Anhaltspunkte vor, dass öffentliche Stellen des Bundes Verstöße im Sinne des § 93 Nr. 3 begehen oder sonst die gesetzlichen Rechte von Ausländern nicht wahren, so kann sie eine Stellungnahme anfordern. Sie kann diese Stellungnahme mit einer eigenen Bewertung versehen und der öffentlichen und deren vorgesetzter Stelle zuleiten. Die öffentlichen Stellen des Bundes sind verpflichtet, Auskunft zu erteilen und Fragen zu beantworten. Personenbezogene Daten übermitteln die öffentlichen Stellen nur, wenn sich der Betroffene selbst mit der Bitte, in seiner Sache gegenüber der öffentlichen Stelle tätig zu werden, an die Beauftragte gewandt hat oder die Einwilligung des Ausländers anderweitig nachgewiesen ist.</w:t>
      </w:r>
    </w:p>
    <w:p>
      <w:r>
        <w:rPr>
          <w:color w:val="555555"/>
          <w:sz w:val="17"/>
        </w:rPr>
        <w:t xml:space="preserve">Zitiervorschlag: § 94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