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91e AufenthG 2004 — Gemeinsame Vorschriften zu innergemeinschaftlichen Datenübermittlungen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16.05.2024 (konsolidierte Textfassung, kein amtliches Inkrafttretensdatum)</w:t>
      </w:r>
    </w:p>
    <w:p>
      <w:r>
        <w:t xml:space="preserve">Im Sinne der §§ 91c bis 91g sind</w:t>
      </w:r>
    </w:p>
    <w:p>
      <w:pPr>
        <w:ind w:left="420"/>
      </w:pPr>
      <w:r>
        <w:t xml:space="preserve">1. Personalien: Namen, insbesondere Familienname, Geburtsname, Vornamen und früher geführte Namen, Geburtsdatum, Geburtsort, Geschlecht, Staatsangehörigkeiten und Wohnanschrift im Inland,</w:t>
      </w:r>
    </w:p>
    <w:p>
      <w:pPr>
        <w:ind w:left="420"/>
      </w:pPr>
      <w:r>
        <w:t xml:space="preserve">2. Angaben zum Identitäts- und Reisedokument: Art, Nummer, ausgebende Stelle, Ausstellungsdatum und Gültigkeitsdauer.</w:t>
      </w:r>
    </w:p>
    <w:p>
      <w:r>
        <w:rPr>
          <w:color w:val="555555"/>
          <w:sz w:val="17"/>
        </w:rPr>
        <w:t xml:space="preserve">Zitiervorschlag: § 91e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https://recht.nulegal.eu/gesetze/AufenthG%202004/91e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