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91b AufenthG 2004 — Datenübermittlung durch das Bundesamt für Migration und Flüchtlinge als nationale Kontaktstelle</w:t>
      </w:r>
    </w:p>
    <w:p>
      <w:r>
        <w:rPr>
          <w:color w:val="555555"/>
          <w:sz w:val="18"/>
        </w:rPr>
        <w:t xml:space="preserve">Aufenthaltsgesetz</w:t>
      </w:r>
    </w:p>
    <w:p>
      <w:r>
        <w:rPr>
          <w:color w:val="555555"/>
          <w:sz w:val="18"/>
        </w:rPr>
        <w:t xml:space="preserve">Stand: 16.05.2024 (konsolidierte Textfassung, kein amtliches Inkrafttretensdatum)</w:t>
      </w:r>
    </w:p>
    <w:p>
      <w:r>
        <w:t xml:space="preserve">Das Bundesamt für Migration und Flüchtlinge als nationale Kontaktstelle nach Artikel 27 Abs. 1 der Richtlinie 2001/55/EG darf die Daten des Ausländerzentralregisters zum Zweck der Verlegung des Wohnsitzes aufgenommener Ausländer in andere Mitgliedstaaten der Europäischen Union oder zur Familienzusammenführung an folgende Stellen übermitteln:</w:t>
      </w:r>
    </w:p>
    <w:p>
      <w:pPr>
        <w:ind w:left="420"/>
      </w:pPr>
      <w:r>
        <w:t xml:space="preserve">1. nationale Kontaktstellen anderer Mitgliedstaaten der Europäischen Union,</w:t>
      </w:r>
    </w:p>
    <w:p>
      <w:pPr>
        <w:ind w:left="420"/>
      </w:pPr>
      <w:r>
        <w:t xml:space="preserve">2. Organe und Einrichtungen der Europäischen Union,</w:t>
      </w:r>
    </w:p>
    <w:p>
      <w:pPr>
        <w:ind w:left="420"/>
      </w:pPr>
      <w:r>
        <w:t xml:space="preserve">3. sonstige ausländische oder über- und zwischenstaatliche Stellen nach Maßgabe des Kapitels V der Verordnung (EU) 2016/679 und den sonstigen allgemeinen datenschutzrechtlichen Vorschriften.</w:t>
      </w:r>
    </w:p>
    <w:p>
      <w:r>
        <w:rPr>
          <w:color w:val="555555"/>
          <w:sz w:val="17"/>
        </w:rPr>
        <w:t xml:space="preserve">Zitiervorschlag: § 91b AufenthG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https://recht.nulegal.eu/gesetze/AufenthG%202004/91b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