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AufenthG 2004 — Speicherung und Löschung personenbezogener Daten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Daten über die Ausweisung, Zurückschiebung und Abschiebung sind zehn Jahre nach Ablauf der in § 11 Absatz 2 bezeichneten Frist zu löschen. Sie sind vor diesem Zeitpunkt zu löschen, soweit sie Erkenntnisse enthalten, die nach anderen gesetzlichen Bestimmungen nicht mehr gegen den Ausländer verwertet werden dürfen.</w:t>
      </w:r>
    </w:p>
    <w:p>
      <w:r>
        <w:t xml:space="preserve">(2) Mitteilungen nach § 87 Abs. 1, die für eine anstehende ausländerrechtliche Entscheidung unerheblich sind und voraussichtlich auch für eine spätere ausländerrechtliche Entscheidung nicht erheblich werden können, sind unverzüglich zu vernichten.</w:t>
      </w:r>
    </w:p>
    <w:p>
      <w:r>
        <w:rPr>
          <w:color w:val="555555"/>
          <w:sz w:val="17"/>
        </w:rPr>
        <w:t xml:space="preserve">Zitiervorschlag: § 91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