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89a AufenthG 2004 — Verfahrensvorschriften für die Fundpapier-Datenbank</w:t>
      </w:r>
    </w:p>
    <w:p>
      <w:r>
        <w:rPr>
          <w:color w:val="555555"/>
          <w:sz w:val="18"/>
        </w:rPr>
        <w:t xml:space="preserve">Aufenthaltsgesetz</w:t>
      </w:r>
    </w:p>
    <w:p>
      <w:r>
        <w:rPr>
          <w:color w:val="555555"/>
          <w:sz w:val="18"/>
        </w:rPr>
        <w:t xml:space="preserve">Außer Kraft: § 89a ist seit 16.08.2019 nicht mehr im AufenthG 2004 enthalten. Angezeigt wird die letzte bekannte Fassung, Stand 10.06.2019.</w:t>
      </w:r>
    </w:p>
    <w:p>
      <w:r>
        <w:t xml:space="preserve">(1) Das Bundesverwaltungsamt gleicht die nach § 49 erhobenen Daten eines Ausländers auf Ersuchen der Behörde, die die Daten erhoben hat, mit den in der Fundpapier-Datenbank gespeicherten Daten ab, um durch die Zuordnung zu einem aufgefundenen Papier die Identität oder Staatsangehörigkeit eines Ausländers festzustellen, soweit hieran Zweifel bestehen.</w:t>
      </w:r>
    </w:p>
    <w:p>
      <w:r>
        <w:t xml:space="preserve">(2) Zur Durchführung des Datenabgleichs übermittelt die ersuchende Stelle das Lichtbild oder die Fingerabdrücke sowie andere in § 49b Nr. 1 genannte Daten an das Bundesverwaltungsamt.</w:t>
      </w:r>
    </w:p>
    <w:p>
      <w:r>
        <w:t xml:space="preserve">(3) Stimmen die übermittelten Daten des Ausländers mit den gespeicherten Daten des Inhabers eines Fundpapiers überein, so werden die Daten nach § 49b an die ersuchende Stelle übermittelt.</w:t>
      </w:r>
    </w:p>
    <w:p>
      <w:r>
        <w:t xml:space="preserve">(4) Kann das Bundesverwaltungsamt die Identität eines Ausländers nicht eindeutig feststellen, übermittelt es zur Identitätsprüfung an die ersuchende Stelle die in der Fundpapier-Datenbank gespeicherten Angaben zu ähnlichen Personen, wenn zu erwarten ist, dass deren Kenntnis die Identitätsfeststellung des Ausländers durch die Zuordnung zu einem der Fundpapiere ermöglicht. Die ersuchende Stelle hat alle vom Bundesverwaltungsamt übermittelten Angaben, die dem Ausländer nicht zugeordnet werden können, unverzüglich zu löschen und entsprechende Aufzeichnungen zu vernichten.</w:t>
      </w:r>
    </w:p>
    <w:p>
      <w:r>
        <w:t xml:space="preserve">(5) Die Übermittlung der Daten soll durch Datenfernübertragung erfolgen. Ein Abruf der Daten im automatisierten Verfahren ist nach Maßgabe des § 10 Abs. 2 bis 4 des Bundesdatenschutzgesetzes zulässig.</w:t>
      </w:r>
    </w:p>
    <w:p>
      <w:r>
        <w:t xml:space="preserve">(6) Das Bundesverwaltungsamt gleicht auf Ersuchen</w:t>
      </w:r>
    </w:p>
    <w:p>
      <w:pPr>
        <w:ind w:left="420"/>
      </w:pPr>
      <w:r>
        <w:t xml:space="preserve">1. einer zur Feststellung der Identität oder Staatsangehörigkeit eines Ausländers nach § 16 Abs. 2 des Asylgesetzes zuständigen Behörde und</w:t>
      </w:r>
    </w:p>
    <w:p>
      <w:pPr>
        <w:ind w:left="420"/>
      </w:pPr>
      <w:r>
        <w:t xml:space="preserve">2. einer für die Strafverfolgung oder die polizeiliche Gefahrenabwehr zuständigen Behörde zur Feststellung der Identität eines Ausländers oder der Zuordnung von Beweismitteln</w:t>
      </w:r>
    </w:p>
    <w:p>
      <w:r>
        <w:t xml:space="preserve">die von dieser Behörde übermittelten Daten mit den in der Fundpapier-Datenbank gespeicherten Daten ab. Die Absätze 2 bis 5 gelten entsprechend.</w:t>
      </w:r>
    </w:p>
    <w:p>
      <w:r>
        <w:t xml:space="preserve">(7) Die Daten nach § 49b sind zehn Jahre nach der erstmaligen Speicherung von Daten zu dem betreffenden Dokument zu löschen. Entfällt der Zweck der Speicherung vor Ablauf dieser Frist, sind die Daten unverzüglich zu löschen.</w:t>
      </w:r>
    </w:p>
    <w:p>
      <w:r>
        <w:t xml:space="preserve">(8) Die beteiligten Stellen haben dem jeweiligen Stand der Technik entsprechende Maßnahmen zur Sicherstellung von Datenschutz und Datensicherheit zu treffen, die insbesondere die Vertraulichkeit und Unversehrtheit der Daten gewährleisten; im Falle der Nutzung allgemein zugänglicher Netze sind dem jeweiligen Stand der Technik entsprechende Verschlüsselungsverfahren anzuwenden.</w:t>
      </w:r>
    </w:p>
    <w:p>
      <w:r>
        <w:rPr>
          <w:color w:val="555555"/>
          <w:sz w:val="17"/>
        </w:rPr>
        <w:t xml:space="preserve">Zitiervorschlag: § 89a AufenthG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https://recht.nulegal.eu/gesetze/AufenthG%202004/89a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