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73c AufenthG 2004 — Zusammenarbeit mit externen Dienstleistungserbringern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24.06.2020 (konsolidierte Textfassung, kein amtliches Inkrafttretensdatum)</w:t>
      </w:r>
    </w:p>
    <w:p>
      <w:r>
        <w:t xml:space="preserve">Die deutschen Auslandsvertretungen können im Verfahren zur Beantragung nationaler Visa nach Kapitel 2 Abschnitt 3 und 4 mit einem externen Dienstleistungserbringer entsprechend Artikel 43 der Verordnung (EG) Nr. 810/2009 zusammenarbeiten. Satz 1 gilt auch für Visumanträge des Ehegatten oder Lebenspartners und minderjähriger lediger Kinder zum Zweck des Familiennachzugs zu einem Ausländer, der einen Visumantrag nach Satz 1 gestellt hat, wenn die Ehe oder die Lebenspartnerschaft bereits bestand oder das Verwandtschaftsverhältnis bereits begründet war, als der Ausländer seinen Lebensmittelpunkt in das Bundesgebiet verlegt hat.</w:t>
      </w:r>
    </w:p>
    <w:p>
      <w:r>
        <w:rPr>
          <w:color w:val="555555"/>
          <w:sz w:val="17"/>
        </w:rPr>
        <w:t xml:space="preserve">Zitiervorschlag: § 73c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https://recht.nulegal.eu/gesetze/AufenthG%202004/73c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