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AufenthG 2004 — Aufenthaltserlaubnis</w:t>
      </w:r>
    </w:p>
    <w:p>
      <w:r>
        <w:rPr>
          <w:color w:val="555555"/>
          <w:sz w:val="18"/>
        </w:rPr>
        <w:t xml:space="preserve">Aufenthaltsgesetz</w:t>
      </w:r>
    </w:p>
    <w:p>
      <w:r>
        <w:rPr>
          <w:color w:val="555555"/>
          <w:sz w:val="18"/>
        </w:rPr>
        <w:t xml:space="preserve">Stand: 05.03.2020 (konsolidierte Textfassung, kein amtliches Inkrafttretensdatum)</w:t>
      </w:r>
    </w:p>
    <w:p>
      <w:r>
        <w:t xml:space="preserve">(1) Die Aufenthaltserlaubnis ist ein befristeter Aufenthaltstitel. Sie wird zu den in den nachfolgenden Abschnitten genannten Aufenthaltszwecken erteilt. In begründeten Fällen kann eine Aufenthaltserlaubnis auch für einen von diesem Gesetz nicht vorgesehenen Aufenthaltszweck erteilt werden. Die Aufenthaltserlaubnis nach Satz 3 berechtigt nicht zur Erwerbstätigkeit; sie kann nach § 4a Absatz 1 erlaubt werden.</w:t>
      </w:r>
    </w:p>
    <w:p>
      <w:r>
        <w:t xml:space="preserve">(2) Die Aufenthaltserlaubnis ist unter Berücksichtigung des beabsichtigten Aufenthaltszwecks zu befristen. Ist eine für die Erteilung, die Verlängerung oder die Bestimmung der Geltungsdauer wesentliche Voraussetzung entfallen, so kann die Frist auch nachträglich verkürzt werden.</w:t>
      </w:r>
    </w:p>
    <w:p>
      <w:r>
        <w:rPr>
          <w:color w:val="555555"/>
          <w:sz w:val="17"/>
        </w:rPr>
        <w:t xml:space="preserve">Zitiervorschlag: § 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