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62 AufenthG 2004 — Abschiebungshaft</w:t>
      </w:r>
    </w:p>
    <w:p>
      <w:r>
        <w:rPr>
          <w:color w:val="555555"/>
          <w:sz w:val="18"/>
        </w:rPr>
        <w:t xml:space="preserve">Aufenthaltsgesetz</w:t>
      </w:r>
    </w:p>
    <w:p>
      <w:r>
        <w:rPr>
          <w:color w:val="555555"/>
          <w:sz w:val="18"/>
        </w:rPr>
        <w:t xml:space="preserve">Stand: 12.06.2026 (konsolidierte Textfassung, kein amtliches Inkrafttretensdatum)</w:t>
      </w:r>
    </w:p>
    <w:p>
      <w:r>
        <w:t xml:space="preserve">(1) Die Abschiebungshaft ist unzulässig, wenn der Zweck der Haft durch ein milderes Mittel erreicht werden kann. Die Inhaftnahme ist auf die kürzest mögliche Dauer zu beschränken. Minderjährige und Familien mit Minderjährigen werden grundsätzlich nicht in Abschiebungshaft genommen.</w:t>
      </w:r>
    </w:p>
    <w:p>
      <w:r>
        <w:t xml:space="preserve">(2) Ein Ausländer ist zur Vorbereitung der Ausweisung oder der Abschiebungsanordnung nach § 58a auf richterliche Anordnung in Haft zu nehmen, wenn über die Ausweisung oder die Abschiebungsanordnung nach § 58a nicht sofort entschieden werden kann und die Abschiebung ohne die Inhaftnahme wesentlich erschwert oder vereitelt würde (Vorbereitungshaft). Die Dauer der Vorbereitungshaft soll sechs Wochen nicht überschreiten. Im Falle der Ausweisung bedarf es für die Fortdauer der Haft bis zum Ablauf der angeordneten Haftdauer keiner erneuten richterlichen Anordnung.</w:t>
      </w:r>
    </w:p>
    <w:p>
      <w:r>
        <w:t xml:space="preserve">(3) Ein Ausländer ist zur Sicherung der Abschiebung auf richterliche Anordnung in Haft zu nehmen (Sicherungshaft), wenn</w:t>
      </w:r>
    </w:p>
    <w:p>
      <w:pPr>
        <w:ind w:left="420"/>
      </w:pPr>
      <w:r>
        <w:t xml:space="preserve">1. Fluchtgefahr besteht,</w:t>
      </w:r>
    </w:p>
    <w:p>
      <w:pPr>
        <w:ind w:left="420"/>
      </w:pPr>
      <w:r>
        <w:t xml:space="preserve">2. der Ausländer auf Grund einer unerlaubten Einreise vollziehbar ausreisepflichtig oder nach einer erlaubten Einreise vollziehbar ausreisepflichtig geworden ist,</w:t>
      </w:r>
    </w:p>
    <w:p>
      <w:pPr>
        <w:ind w:left="420"/>
      </w:pPr>
      <w:r>
        <w:t xml:space="preserve">3. eine Abschiebungsanordnung nach § 58a ergangen ist, diese aber nicht unmittelbar vollzogen werden kann oder</w:t>
      </w:r>
    </w:p>
    <w:p>
      <w:pPr>
        <w:ind w:left="420"/>
      </w:pPr>
      <w:r>
        <w:t xml:space="preserve">4. der Ausländer entgegen einem Einreise- und Aufenthaltsverbot in das Bundesgebiet eingereist ist und sich darin aufhält.</w:t>
      </w:r>
    </w:p>
    <w:p>
      <w:r>
        <w:t xml:space="preserve">Von der Anordnung der Sicherungshaft nach Satz 1 Nummer 2 kann ausnahmsweise abgesehen werden, wenn der Ausländer glaubhaft macht, dass er sich der Abschiebung nicht entziehen will. Die Sicherungshaft ist unzulässig, wenn feststeht, dass aus Gründen, die der Ausländer nicht zu vertreten hat, die Abschiebung nicht innerhalb der nächsten sechs Monate durchgeführt werden kann. Abweichend von Satz 3 ist die Sicherungshaft bei einem Ausländer, von dem eine erhebliche Gefahr für Leib und Leben Dritter oder bedeutende Rechtsgüter der inneren Sicherheit ausgeht, auch dann zulässig, wenn die Abschiebung nicht innerhalb der nächsten sechs Monate durchgeführt werden kann.</w:t>
      </w:r>
    </w:p>
    <w:p>
      <w:r>
        <w:t xml:space="preserve">(3a) Fluchtgefahr im Sinne von Absatz 3 Satz 1 Nummer 1 wird widerleglich vermutet, wenn</w:t>
      </w:r>
    </w:p>
    <w:p>
      <w:pPr>
        <w:ind w:left="420"/>
      </w:pPr>
      <w:r>
        <w:t xml:space="preserve">1. der Ausländer gegenüber den mit der Ausführung dieses Gesetzes betrauten Behörden über seine Identität täuscht oder in einer für ein Abschiebungshindernis erheblichen Weise und in zeitlichem Zusammenhang mit der Abschiebung getäuscht hat und die Angabe nicht selbst berichtigt hat, insbesondere durch Unterdrückung oder Vernichtung von Identitäts- oder Reisedokumenten oder das Vorgeben einer falschen Identität,</w:t>
      </w:r>
    </w:p>
    <w:p>
      <w:pPr>
        <w:ind w:left="420"/>
      </w:pPr>
      <w:r>
        <w:t xml:space="preserve">2. der Ausländer unentschuldigt zur Durchführung einer Anhörung oder ärztlichen Untersuchung nach § 82 Absatz 4 Satz 1 nicht an dem von der Ausländerbehörde angegebenen Ort angetroffen wurde, sofern der Ausländer bei der Ankündigung des Termins auf die Möglichkeit seiner Inhaftnahme im Falle des Nichtantreffens hingewiesen wurde,</w:t>
      </w:r>
    </w:p>
    <w:p>
      <w:pPr>
        <w:ind w:left="420"/>
      </w:pPr>
      <w:r>
        <w:t xml:space="preserve">3. die Ausreisefrist abgelaufen ist und der Ausländer seinen Aufenthaltsort trotz Hinweises auf die Anzeigepflicht gewechselt hat, ohne der zuständigen Behörde eine Anschrift anzugeben, unter der er erreichbar ist,</w:t>
      </w:r>
    </w:p>
    <w:p>
      <w:pPr>
        <w:ind w:left="420"/>
      </w:pPr>
      <w:r>
        <w:t xml:space="preserve">4. (weggefallen)</w:t>
      </w:r>
    </w:p>
    <w:p>
      <w:pPr>
        <w:ind w:left="420"/>
      </w:pPr>
      <w:r>
        <w:t xml:space="preserve">5. der Ausländer sich bereits in der Vergangenheit der Abschiebung entzogen hat oder</w:t>
      </w:r>
    </w:p>
    <w:p>
      <w:pPr>
        <w:ind w:left="420"/>
      </w:pPr>
      <w:r>
        <w:t xml:space="preserve">6. der Ausländer ausdrücklich erklärt hat, dass er sich der Abschiebung entziehen will.</w:t>
      </w:r>
    </w:p>
    <w:p>
      <w:r>
        <w:t xml:space="preserve">(3b) Konkrete Anhaltspunkte für Fluchtgefahr im Sinne von Absatz 3 Satz 1 Nummer 1 können sein:</w:t>
      </w:r>
    </w:p>
    <w:p>
      <w:pPr>
        <w:ind w:left="420"/>
      </w:pPr>
      <w:r>
        <w:t xml:space="preserve">1. der Ausländer hat gegenüber den mit der Ausführung dieses Gesetzes betrauten Behörden über seine Identität in einer für ein Abschiebungshindernis erheblichen Weise getäuscht und hat die Angabe nicht selbst berichtigt, insbesondere durch Unterdrückung oder Vernichtung von Identitäts- oder Reisedokumenten oder das Vorgeben einer falschen Identität,</w:t>
      </w:r>
    </w:p>
    <w:p>
      <w:pPr>
        <w:ind w:left="420"/>
      </w:pPr>
      <w:r>
        <w:t xml:space="preserve">2. der Ausländer hat zu seiner unerlaubten Einreise erhebliche Geldbeträge, insbesondere an einen Dritten für dessen Handlung nach § 96, aufgewandt, die nach den Umständen derart maßgeblich sind, dass daraus geschlossen werden kann, dass er die Abschiebung verhindern wird, damit die Aufwendungen nicht vergeblich waren,</w:t>
      </w:r>
    </w:p>
    <w:p>
      <w:pPr>
        <w:ind w:left="420"/>
      </w:pPr>
      <w:r>
        <w:t xml:space="preserve">3. von dem Ausländer geht eine erhebliche Gefahr für Leib und Leben Dritter oder bedeutende Rechtsgüter der inneren Sicherheit aus,</w:t>
      </w:r>
    </w:p>
    <w:p>
      <w:pPr>
        <w:ind w:left="420"/>
      </w:pPr>
      <w:r>
        <w:t xml:space="preserve">4. der Ausländer ist wiederholt wegen vorsätzlicher Straftaten rechtskräftig zu mindestens einer Freiheitsstrafe verurteilt worden,</w:t>
      </w:r>
    </w:p>
    <w:p>
      <w:pPr>
        <w:ind w:left="420"/>
      </w:pPr>
      <w:r>
        <w:t xml:space="preserve">5. der Ausländer hat die Passbeschaffungspflicht nach § 60b Absatz 3 Satz 1 Nummer 1, 2 und 6 nicht erfüllt oder der Ausländer hat andere als die in Absatz 3a Nummer 2 genannten gesetzlichen Mitwirkungshandlungen zur Feststellung der Identität, insbesondere die ihm nach § 48 Absatz 3 Satz 1 obliegenden Mitwirkungshandlungen, verweigert oder unterlassen und wurde vorher auf die Möglichkeit seiner Inhaftnahme im Falle der Nichterfüllung der Passersatzbeschaffungspflicht nach § 60b Absatz 3 Satz 1 Nummer 1, 2 und 6 oder der Verweigerung oder Unterlassung der Mitwirkungshandlung hingewiesen,</w:t>
      </w:r>
    </w:p>
    <w:p>
      <w:pPr>
        <w:ind w:left="420"/>
      </w:pPr>
      <w:r>
        <w:t xml:space="preserve">6. der Ausländer hat nach Ablauf der Ausreisefrist wiederholt gegen eine Pflicht nach § 61 Absatz 1 Satz 1, Absatz 1a, 1c Satz 1 Nummer 3 oder Satz 2 verstoßen oder eine zur Sicherung und Durchsetzung der Ausreisepflicht verhängte Auflage nach § 61 Absatz 1e nicht erfüllt.</w:t>
      </w:r>
    </w:p>
    <w:p>
      <w:r>
        <w:t xml:space="preserve">(4) Die Sicherungshaft kann unter Berücksichtigung von Artikel 5 Absatz 4 Satz 2 der Verordnung (EU) 2024/1349 für bis zu sechs Monate angeordnet werden. Sie kann in Fällen, in denen die Abschiebung aus von dem Ausländer zu vertretenden Gründen nicht vollzogen werden kann, um höchstens zwölf Monate verlängert werden. Eine Verlängerung um höchstens zwölf Monate ist auch möglich, soweit die Haft auf der Grundlage des Absatzes 3 Satz 1 Nummer 3 angeordnet worden ist und sich die Übermittlung der für die Abschiebung erforderlichen Unterlagen oder Dokumente durch den zur Aufnahme verpflichteten oder bereiten Drittstaat verzögert. Die Gesamtdauer der Sicherungshaft darf 18 Monate nicht überschreiten. Eine Vorbereitungshaft ist auf die Gesamtdauer der Sicherungshaft anzurechnen.</w:t>
      </w:r>
    </w:p>
    <w:p>
      <w:r>
        <w:t xml:space="preserve">(4a) Ist die Abschiebung gescheitert, bleibt die Anordnung bis zum Ablauf der Anordnungsfrist unberührt, sofern die Voraussetzungen für die Haftanordnung unverändert fortbestehen.</w:t>
      </w:r>
    </w:p>
    <w:p>
      <w:r>
        <w:t xml:space="preserve">(5) Die für den Haftantrag zuständige Behörde kann einen Ausländer ohne vorherige richterliche Anordnung festhalten und vorläufig in Gewahrsam nehmen, wenn</w:t>
      </w:r>
    </w:p>
    <w:p>
      <w:pPr>
        <w:ind w:left="420"/>
      </w:pPr>
      <w:r>
        <w:t xml:space="preserve">1. der dringende Verdacht für das Vorliegen der Voraussetzungen nach Absatz 3 Satz 1 besteht,</w:t>
      </w:r>
    </w:p>
    <w:p>
      <w:pPr>
        <w:ind w:left="420"/>
      </w:pPr>
      <w:r>
        <w:t xml:space="preserve">2. die richterliche Entscheidung über die Anordnung der Sicherungshaft nicht vorher eingeholt werden kann und</w:t>
      </w:r>
    </w:p>
    <w:p>
      <w:pPr>
        <w:ind w:left="420"/>
      </w:pPr>
      <w:r>
        <w:t xml:space="preserve">3. der begründete Verdacht vorliegt, dass sich der Ausländer der Anordnung der Sicherungshaft entziehen will.</w:t>
      </w:r>
    </w:p>
    <w:p>
      <w:r>
        <w:t xml:space="preserve">Der Ausländer ist unverzüglich dem Richter zur Entscheidung über die Anordnung der Sicherungshaft vorzuführen.</w:t>
      </w:r>
    </w:p>
    <w:p>
      <w:r>
        <w:t xml:space="preserve">(6) Zum Zweck der Abschiebung kann ein Ausländer auf richterliche Anordnung für die Dauer von längstens 14 Tagen zur Durchführung einer Anordnung nach § 82 Absatz 4 Satz 1, bei den Vertretungen oder ermächtigten Bediensteten des Staates, dessen Staatsangehörigkeit er vermutlich besitzt, persönlich zu erscheinen und die zur Klärung seiner Identität erforderlichen Angaben zu machen, oder eine ärztliche Untersuchung zur Feststellung seiner Reisefähigkeit durchführen zu lassen, in Haft genommen werden, wenn</w:t>
      </w:r>
    </w:p>
    <w:p>
      <w:pPr>
        <w:ind w:left="420"/>
      </w:pPr>
      <w:r>
        <w:t xml:space="preserve">1. der Ausländer</w:t>
      </w:r>
    </w:p>
    <w:p>
      <w:pPr>
        <w:ind w:left="780"/>
      </w:pPr>
      <w:r>
        <w:t xml:space="preserve">a) einer solchen erstmaligen Anordnung unentschuldigt ferngeblieben ist oder die zur Klärung seiner Identität erforderlichen Angaben unterlassen hat oder</w:t>
      </w:r>
    </w:p>
    <w:p>
      <w:pPr>
        <w:ind w:left="780"/>
      </w:pPr>
      <w:r>
        <w:t xml:space="preserve">b) einer Anordnung nach § 82 Absatz 4 Satz 1, zu einem Termin bei der zuständigen Behörde persönlich zu erscheinen, unentschuldigt ferngeblieben ist oder im Termin die zur Klärung seiner Identität erforderlichen Angaben unterlassen hat und</w:t>
      </w:r>
    </w:p>
    <w:p>
      <w:pPr>
        <w:ind w:left="420"/>
      </w:pPr>
      <w:r>
        <w:t xml:space="preserve">2. zuvor auf die Möglichkeit einer Inhaftnahme hingewiesen wurde (Mitwirkungshaft).</w:t>
      </w:r>
    </w:p>
    <w:p>
      <w:r>
        <w:t xml:space="preserve">Eine Verlängerung der Mitwirkungshaft ist nicht möglich. Eine Mitwirkungshaft ist auf die Gesamtdauer der Sicherungshaft anzurechnen. § 62a Absatz 1 findet entsprechende Anwendung.</w:t>
      </w:r>
    </w:p>
    <w:p>
      <w:r>
        <w:rPr>
          <w:color w:val="555555"/>
          <w:sz w:val="17"/>
        </w:rPr>
        <w:t xml:space="preserve">Zitiervorschlag: § 62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