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AufenthG 2004 — Elektronische Aufenthaltsüberwachung; Verordnungsermächtigung</w:t>
      </w:r>
    </w:p>
    <w:p>
      <w:r>
        <w:rPr>
          <w:color w:val="555555"/>
          <w:sz w:val="18"/>
        </w:rPr>
        <w:t xml:space="preserve">Aufenthaltsgesetz</w:t>
      </w:r>
    </w:p>
    <w:p>
      <w:r>
        <w:rPr>
          <w:color w:val="555555"/>
          <w:sz w:val="18"/>
        </w:rPr>
        <w:t xml:space="preserve">Stand: 02.12.2019 (konsolidierte Textfassung, kein amtliches Inkrafttretensdatum)</w:t>
      </w:r>
    </w:p>
    <w:p>
      <w:r>
        <w:t xml:space="preserve">(1) Um eine erhebliche Gefahr für die innere Sicherheit oder für Leib und Leben Dritter abzuwehren, kann ein Ausländer, der einer räumlichen Beschränkung des Aufenthaltes nach § 56 Absatz 2 und 3 oder einem Kontaktverbot nach § 56 Absatz 4 unterliegt, auf richterliche Anordnung verpflichtet werden,</w:t>
      </w:r>
    </w:p>
    <w:p>
      <w:pPr>
        <w:ind w:left="420"/>
      </w:pPr>
      <w:r>
        <w:t xml:space="preserve">1. die für eine elektronische Überwachung seines Aufenthaltsortes erforderlichen technischen Mittel ständig in betriebsbereitem Zustand am Körper bei sich zu führen und</w:t>
      </w:r>
    </w:p>
    <w:p>
      <w:pPr>
        <w:ind w:left="420"/>
      </w:pPr>
      <w:r>
        <w:t xml:space="preserve">2. deren Funktionsfähigkeit nicht zu beeinträchtigen.</w:t>
      </w:r>
    </w:p>
    <w:p>
      <w:r>
        <w:t xml:space="preserve">(2) Die Anordnung ergeht für längstens drei Monate. Sie kann um jeweils höchstens drei Monate verlängert werden, wenn die Voraussetzungen weiterhin vorliegen. Liegen die Voraussetzungen der Anordnung nicht mehr vor, ist die Maßnahme unverzüglich zu beenden.</w:t>
      </w:r>
    </w:p>
    <w:p>
      <w:r>
        <w:t xml:space="preserve">(3) Die Ausländerbehörde erhebt und speichert mit Hilfe der vom Ausländer mitgeführten technischen Mittel automatisiert Daten über</w:t>
      </w:r>
    </w:p>
    <w:p>
      <w:pPr>
        <w:ind w:left="420"/>
      </w:pPr>
      <w:r>
        <w:t xml:space="preserve">1. dessen Aufenthaltsort sowie</w:t>
      </w:r>
    </w:p>
    <w:p>
      <w:pPr>
        <w:ind w:left="420"/>
      </w:pPr>
      <w:r>
        <w:t xml:space="preserve">2. über etwaige Beeinträchtigungen der Datenerhebung.</w:t>
      </w:r>
    </w:p>
    <w:p>
      <w:r>
        <w:t xml:space="preserve">Soweit es technisch möglich ist, ist sicherzustellen, dass innerhalb der Wohnung des Ausländers keine über den Umstand seiner Anwesenheit hinausgehenden Aufenthaltsdaten erhoben werden. Die Landesregierungen können durch Rechtsverordnung bestimmen, dass eine andere Stelle als die Ausländerbehörde die in Satz 1 genannten Daten erhebt und speichert. Die Ermächtigung nach Satz 3 kann durch Rechtsverordnung von den Landesregierungen auf die für den Vollzug dieses Gesetzes zuständigen obersten Landesbehörden übertragen werden.</w:t>
      </w:r>
    </w:p>
    <w:p>
      <w:r>
        <w:t xml:space="preserve">(4) Die Daten dürfen ohne Einwilligung der betroffenen Person nur verarbeitet werden, soweit dies erforderlich ist</w:t>
      </w:r>
    </w:p>
    <w:p>
      <w:pPr>
        <w:ind w:left="420"/>
      </w:pPr>
      <w:r>
        <w:t xml:space="preserve">1. zur Feststellung von Verstößen gegen eine räumliche Beschränkung des Aufenthaltes nach § 56 Absatz 2 und 3 oder ein Kontaktverbot nach § 56 Absatz 4,</w:t>
      </w:r>
    </w:p>
    <w:p>
      <w:pPr>
        <w:ind w:left="420"/>
      </w:pPr>
      <w:r>
        <w:t xml:space="preserve">2. zur Verfolgung einer Ordnungswidrigkeit nach § 98 Absatz 3 Nummer 5a oder einer Straftat nach § 95 Absatz 1 Nummer 6a,</w:t>
      </w:r>
    </w:p>
    <w:p>
      <w:pPr>
        <w:ind w:left="420"/>
      </w:pPr>
      <w:r>
        <w:t xml:space="preserve">3. zur Feststellung eines Verstoßes gegen eine vollstreckbare gerichtliche Anordnung nach Absatz 1 und zur Verfolgung einer Straftat nach § 95 Absatz 2 Nummer 1a,</w:t>
      </w:r>
    </w:p>
    <w:p>
      <w:pPr>
        <w:ind w:left="420"/>
      </w:pPr>
      <w:r>
        <w:t xml:space="preserve">4. zur Abwehr einer erheblichen gegenwärtigen Gefahr für Leib, Leben oder Freiheit einer dritten Person,</w:t>
      </w:r>
    </w:p>
    <w:p>
      <w:pPr>
        <w:ind w:left="420"/>
      </w:pPr>
      <w:r>
        <w:t xml:space="preserve">5. zur Verfolgung von erheblichen Straftaten gegen Leib und Leben einer dritten Person oder von Straftaten nach § 89a oder § 129a des Strafgesetzbuches oder</w:t>
      </w:r>
    </w:p>
    <w:p>
      <w:pPr>
        <w:ind w:left="420"/>
      </w:pPr>
      <w:r>
        <w:t xml:space="preserve">6. zur Aufrechterhaltung der Funktionsfähigkeit der technischen Mittel.</w:t>
      </w:r>
    </w:p>
    <w:p>
      <w:r>
        <w:t xml:space="preserve">(5) Zur Einhaltung der Zweckbindung nach Absatz 4 hat die Verarbeitung der Daten automatisiert zu erfolgen und sind die Daten gegen unbefugte Kenntnisnahme besonders zu sichern unbeschadet der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in Absatz 3 Satz 1 genannten Daten sind spätestens zwei Monate nach ihrer Erhebung zu löschen, soweit sie nicht für die in Absatz 4 genannten Zwecke verarbeitet werden. Jeder Abruf der Daten ist zu protokollieren. Die Protokolldaten sind nach zwölf Monaten zu löschen. Werden innerhalb der Wohnung der betroffenen Person über den Umstand ihrer Anwesenheit hinausgehende Aufenthaltsdaten erhoben, dürfen diese nicht verarbeitet werden und sind unverzüglich nach Kenntnisnahme zu löschen. Die Tatsache ihrer Kenntnisnahme und Löschung ist zu dokumentieren. Die Dokumentation darf ausschließlich für Zwecke der Datenschutzkontrolle verwendet werden. Sie ist nach Abschluss der Datenschutzkontrolle zu löschen.</w:t>
      </w:r>
    </w:p>
    <w:p>
      <w:r>
        <w:t xml:space="preserve">(6) Zur Durchführung der Maßnahme nach Absatz 1 hat die zuständige Stelle im Sinne des Absatzes 3:</w:t>
      </w:r>
    </w:p>
    <w:p>
      <w:pPr>
        <w:ind w:left="420"/>
      </w:pPr>
      <w:r>
        <w:t xml:space="preserve">1. eingehende Systemmeldungen über Verstöße nach Absatz 4 Nummer 1 entgegenzunehmen und zu bewerten,</w:t>
      </w:r>
    </w:p>
    <w:p>
      <w:pPr>
        <w:ind w:left="420"/>
      </w:pPr>
      <w:r>
        <w:t xml:space="preserve">2. Daten des Aufenthaltsortes der betroffenen Person an die zuständigen Behörden übermitteln, sofern dies zur Durchsetzung von Maßnahmen nach Absatz 4 Nummer 1 erforderlich ist,</w:t>
      </w:r>
    </w:p>
    <w:p>
      <w:pPr>
        <w:ind w:left="420"/>
      </w:pPr>
      <w:r>
        <w:t xml:space="preserve">3. Daten des Aufenthaltsortes der betroffenen Person an die zuständige Bußgeldbehörde zur Verfolgung einer Ordnungswidrigkeit nach § 98 Absatz 3 Nummer 5a oder an die zuständige Strafverfolgungsbehörde zur Verfolgung einer Straftat nach § 95 Absatz 1 Nummer 6a oder Absatz 2 Nummer 1a übermitteln,</w:t>
      </w:r>
    </w:p>
    <w:p>
      <w:pPr>
        <w:ind w:left="420"/>
      </w:pPr>
      <w:r>
        <w:t xml:space="preserve">4. Daten des Aufenthaltsortes der betroffenen Person an zuständige Polizeibehörden übermitteln, sofern dies zur Abwehr einer erheblichen gegenwärtigen Gefahr im Sinne von Absatz 4 Nummer 4 erforderlich ist,</w:t>
      </w:r>
    </w:p>
    <w:p>
      <w:pPr>
        <w:ind w:left="420"/>
      </w:pPr>
      <w:r>
        <w:t xml:space="preserve">5. Daten des Aufenthaltsortes der betroffenen Person an die zuständigen Polizei- und Strafverfolgungsbehörden übermitteln, wenn dies zur Verhütung oder zur Verfolgung einer in Absatz 4 Nummer 5 genannten Straftat erforderlich ist,</w:t>
      </w:r>
    </w:p>
    <w:p>
      <w:pPr>
        <w:ind w:left="420"/>
      </w:pPr>
      <w:r>
        <w:t xml:space="preserve">6. die Ursache einer Meldung zu ermitteln; hierzu kann die zuständige Stelle Kontakt mit der betroffenen Person aufnehmen, sie befragen, sie auf den Verstoß hinweisen und ihr mitteilen, wie sie dessen Beendigung bewirken kann,</w:t>
      </w:r>
    </w:p>
    <w:p>
      <w:pPr>
        <w:ind w:left="420"/>
      </w:pPr>
      <w:r>
        <w:t xml:space="preserve">7. eine Überprüfung der bei der betroffenen Person vorhandenen technischen Geräte auf ihre Funktionsfähigkeit oder Manipulation und die zu der Behebung einer Funktionsbeeinträchtigung erforderlichen Maßnahmen, insbesondere des Austausches der technischen Mittel oder von Teilen davon, einzuleiten,</w:t>
      </w:r>
    </w:p>
    <w:p>
      <w:pPr>
        <w:ind w:left="420"/>
      </w:pPr>
      <w:r>
        <w:t xml:space="preserve">8. Anfragen der betroffenen Person zum Umgang mit den technischen Mitteln zu beantworten.</w:t>
      </w:r>
    </w:p>
    <w:p>
      <w:r>
        <w:t xml:space="preserve">(7) Im Antrag auf Anordnung einer Maßnahme nach Absatz 1 sind anzugeben</w:t>
      </w:r>
    </w:p>
    <w:p>
      <w:pPr>
        <w:ind w:left="420"/>
      </w:pPr>
      <w:r>
        <w:t xml:space="preserve">1. die Person, gegen die sich die Maßnahme richtet, mit Name und Anschrift,</w:t>
      </w:r>
    </w:p>
    <w:p>
      <w:pPr>
        <w:ind w:left="420"/>
      </w:pPr>
      <w:r>
        <w:t xml:space="preserve">2. Art, Umfang und Dauer der Maßnahme,</w:t>
      </w:r>
    </w:p>
    <w:p>
      <w:pPr>
        <w:ind w:left="420"/>
      </w:pPr>
      <w:r>
        <w:t xml:space="preserve">3. die Angabe, ob gegenüber der Person, gegen die sich die Maßnahme richtet, eine räumliche Beschränkung nach § 56 Absatz 2 und 3 oder ein Kontaktverbot nach § 56 Absatz 4 besteht,</w:t>
      </w:r>
    </w:p>
    <w:p>
      <w:pPr>
        <w:ind w:left="420"/>
      </w:pPr>
      <w:r>
        <w:t xml:space="preserve">4. der Sachverhalt sowie</w:t>
      </w:r>
    </w:p>
    <w:p>
      <w:pPr>
        <w:ind w:left="420"/>
      </w:pPr>
      <w:r>
        <w:t xml:space="preserve">5. eine Begründung.</w:t>
      </w:r>
    </w:p>
    <w:p>
      <w:r>
        <w:t xml:space="preserve">(8) Die Anordnung ergeht schriftlich. In ihr sind anzugeben</w:t>
      </w:r>
    </w:p>
    <w:p>
      <w:pPr>
        <w:ind w:left="420"/>
      </w:pPr>
      <w:r>
        <w:t xml:space="preserve">1. die Person, gegen die sich die Maßnahme richtet, mit Name und Anschrift,</w:t>
      </w:r>
    </w:p>
    <w:p>
      <w:pPr>
        <w:ind w:left="420"/>
      </w:pPr>
      <w:r>
        <w:t xml:space="preserve">2. Art, Umfang und Dauer der Maßnahme sowie</w:t>
      </w:r>
    </w:p>
    <w:p>
      <w:pPr>
        <w:ind w:left="420"/>
      </w:pPr>
      <w:r>
        <w:t xml:space="preserve">3. die wesentlichen Gründe.</w:t>
      </w:r>
    </w:p>
    <w:p>
      <w:r>
        <w:t xml:space="preserve">(9) Für richterliche Anordnungen nach Absatz 1 ist das Amtsgericht zuständig, in dessen Bezirk die zuständige Stelle im Sinne des Absatzes 3 ihren Sitz hat. Für das Verfahren gelten die Vorschriften des Gesetzes über das Verfahren in Familiensachen und in den Angelegenheiten der freiwilligen Gerichtsbarkeit entsprechend.</w:t>
      </w:r>
    </w:p>
    <w:p>
      <w:r>
        <w:t xml:space="preserve">(10) § 56 Absatz 5 Satz 1 findet entsprechend Anwendung.</w:t>
      </w:r>
    </w:p>
    <w:p>
      <w:r>
        <w:rPr>
          <w:color w:val="555555"/>
          <w:sz w:val="17"/>
        </w:rPr>
        <w:t xml:space="preserve">Zitiervorschlag: § 56a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