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AufenthG 2004 — Allgemeine Erteilungsvoraussetzungen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Die Erteilung eines Aufenthaltstitels setzt in der Regel voraus, dass</w:t>
      </w:r>
    </w:p>
    <w:p>
      <w:pPr>
        <w:ind w:left="420"/>
      </w:pPr>
      <w:r>
        <w:t xml:space="preserve">1. der Lebensunterhalt gesichert ist,</w:t>
      </w:r>
    </w:p>
    <w:p>
      <w:pPr>
        <w:ind w:left="420"/>
      </w:pPr>
      <w:r>
        <w:t xml:space="preserve">1a. die Identität und, falls er nicht zur Rückkehr in einen anderen Staat berechtigt ist, die Staatsangehörigkeit des Ausländers geklärt ist,</w:t>
      </w:r>
    </w:p>
    <w:p>
      <w:pPr>
        <w:ind w:left="420"/>
      </w:pPr>
      <w:r>
        <w:t xml:space="preserve">2. kein Ausweisungsinteresse besteht,</w:t>
      </w:r>
    </w:p>
    <w:p>
      <w:pPr>
        <w:ind w:left="420"/>
      </w:pPr>
      <w:r>
        <w:t xml:space="preserve">3. soweit kein Anspruch auf Erteilung eines Aufenthaltstitels besteht, der Aufenthalt des Ausländers nicht aus einem sonstigen Grund Interessen der Bundesrepublik Deutschland beeinträchtigt oder gefährdet und</w:t>
      </w:r>
    </w:p>
    <w:p>
      <w:pPr>
        <w:ind w:left="420"/>
      </w:pPr>
      <w:r>
        <w:t xml:space="preserve">4. die Passpflicht nach § 3 erfüllt wird.</w:t>
      </w:r>
    </w:p>
    <w:p>
      <w:r>
        <w:t xml:space="preserve">(2) Des Weiteren setzt die Erteilung einer Aufenthaltserlaubnis, einer Blauen Karte EU, einer ICT-Karte, einer Niederlassungserlaubnis oder einer Erlaubnis zum Daueraufenthalt – EU voraus, dass der Ausländer</w:t>
      </w:r>
    </w:p>
    <w:p>
      <w:pPr>
        <w:ind w:left="420"/>
      </w:pPr>
      <w:r>
        <w:t xml:space="preserve">1. mit dem erforderlichen Visum eingereist ist und</w:t>
      </w:r>
    </w:p>
    <w:p>
      <w:pPr>
        <w:ind w:left="420"/>
      </w:pPr>
      <w:r>
        <w:t xml:space="preserve">2. die für die Erteilung maßgeblichen Angaben bereits im Visumantrag gemacht hat.</w:t>
      </w:r>
    </w:p>
    <w:p>
      <w:r>
        <w:t xml:space="preserve">Von den Voraussetzungen nach Satz 1 kann abgesehen werden, wenn die Voraussetzungen eines Anspruchs auf Erteilung erfüllt sind; von den Voraussetzungen nach Satz 1 ist abzusehen, wenn es auf Grund besonderer Umstände des Einzelfalls nicht zumutbar ist, das Visumverfahren nachzuholen. Satz 2 gilt nicht für die Erteilung einer ICT-Karte.</w:t>
      </w:r>
    </w:p>
    <w:p>
      <w:r>
        <w:t xml:space="preserve">(3) In den Fällen der Erteilung eines Aufenthaltstitels nach § 24 oder § 25 Absatz 1 bis 3 ist von der Anwendung der Absätze 1 und 2, in den Fällen des § 25 Absatz 4a und 4b von der Anwendung des Absatzes 1 Nr. 1 bis 2 und 4 sowie des Absatzes 2 abzusehen. In den übrigen Fällen der Erteilung eines Aufenthaltstitels nach Kapitel 2 Abschnitt 5 kann von der Anwendung der Absätze 1 und 2 abgesehen werden. Wird von der Anwendung des Absatzes 1 Nr. 2 abgesehen, kann die Ausländerbehörde darauf hinweisen, dass eine Ausweisung wegen einzeln zu bezeichnender Ausweisungsinteressen, die Gegenstand eines noch nicht abgeschlossenen Straf- oder anderen Verfahrens sind, möglich ist. In den Fällen der Erteilung eines Aufenthaltstitels nach § 26 Absatz 3 ist von der Anwendung des Absatzes 2 abzusehen. Von der Anwendung des Absatzes 2 ist bei Erteilung einer Aufenthaltserlaubnis nach den §§ 18a, 18b, 19c Absatz 2 oder nach Abschnitt 6 in Anwendung von § 10 Absatz 3 Satz 5 abzusehen.</w:t>
      </w:r>
    </w:p>
    <w:p>
      <w:r>
        <w:t xml:space="preserve">(4) Die Erteilung eines Aufenthaltstitels ist zu versagen, wenn ein Ausweisungsinteresse im Sinne von § 54 Absatz 1 Nummer 2 oder 4 besteht oder eine Abschiebungsanordnung nach § 58a erlassen wurde.</w:t>
      </w:r>
    </w:p>
    <w:p>
      <w:r>
        <w:rPr>
          <w:color w:val="555555"/>
          <w:sz w:val="17"/>
        </w:rPr>
        <w:t xml:space="preserve">Zitiervorschlag: § 5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