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49a AufenthG 2004 — Fundpapier-Datenbank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Außer Kraft: § 49a ist seit 16.08.2019 nicht mehr im AufenthG 2004 enthalten. Angezeigt wird die letzte bekannte Fassung, Stand 10.06.2019.</w:t>
      </w:r>
    </w:p>
    <w:p>
      <w:r>
        <w:t xml:space="preserve">(1) Das Bundesverwaltungsamt führt eine Datenbank, in der Angaben zu in Deutschland aufgefundenen, von ausländischen öffentlichen Stellen ausgestellten Identifikationspapieren von Staatsangehörigen der in Anhang I der Verordnung (EG) Nr. 539/2001 (ABl. EG Nr. L 81 S. 1) genannten Staaten gespeichert werden (Fundpapier-Datenbank). Zweck der Speicherung ist die Feststellung der Identität oder Staatsangehörigkeit eines Ausländers und die Ermöglichung der Durchführung einer späteren Rückführung.</w:t>
      </w:r>
    </w:p>
    <w:p>
      <w:r>
        <w:t xml:space="preserve">(2) Ist ein Fundpapier nach Absatz 1 in den Besitz einer öffentlichen Stelle gelangt, übersendet sie es nach Ablauf von sieben Tagen unverzüglich dem Bundesverwaltungsamt, sofern</w:t>
      </w:r>
    </w:p>
    <w:p>
      <w:pPr>
        <w:ind w:left="420"/>
      </w:pPr>
      <w:r>
        <w:t xml:space="preserve">1. sie nicht von einer Verlustanzeige des Inhabers Kenntnis erlangt oder</w:t>
      </w:r>
    </w:p>
    <w:p>
      <w:pPr>
        <w:ind w:left="420"/>
      </w:pPr>
      <w:r>
        <w:t xml:space="preserve">2. sie nicht den inländischen Aufenthalt des Inhabers zweifelsfrei ermittelt oder</w:t>
      </w:r>
    </w:p>
    <w:p>
      <w:pPr>
        <w:ind w:left="420"/>
      </w:pPr>
      <w:r>
        <w:t xml:space="preserve">3. das Fundpapier nicht für Zwecke des Strafverfahrens oder für Beweiszwecke in anderen Verfahren benötigt wird.</w:t>
      </w:r>
    </w:p>
    <w:p>
      <w:r>
        <w:t xml:space="preserve">Im Falle des Satzes 1 Nr. 3 übermittelt die öffentliche Stelle die im Fundpapier enthaltenen Angaben nach § 49b Nr. 1 bis 3 an das Bundesverwaltungsamt zur Aufnahme in die Fundpapier-Datenbank.</w:t>
      </w:r>
    </w:p>
    <w:p>
      <w:r>
        <w:rPr>
          <w:color w:val="555555"/>
          <w:sz w:val="17"/>
        </w:rPr>
        <w:t xml:space="preserve">Zitiervorschlag: § 49a AufenthG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https://recht.nulegal.eu/gesetze/AufenthG%202004/49a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