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AufenthG 2004 — Berufsbezogene Deutschsprachförderung; Verordnungsermächtigung</w:t>
      </w:r>
    </w:p>
    <w:p>
      <w:r>
        <w:rPr>
          <w:color w:val="555555"/>
          <w:sz w:val="18"/>
        </w:rPr>
        <w:t xml:space="preserve">Aufenthaltsgesetz</w:t>
      </w:r>
    </w:p>
    <w:p>
      <w:r>
        <w:rPr>
          <w:color w:val="555555"/>
          <w:sz w:val="18"/>
        </w:rPr>
        <w:t xml:space="preserve">Stand: 01.07.2026 (konsolidierte Textfassung, kein amtliches Inkrafttretensdatum)</w:t>
      </w:r>
    </w:p>
    <w:p>
      <w:r>
        <w:t xml:space="preserve">(1) Die Integration in den Arbeitsmarkt kann durch Maßnahmen der berufsbezogenen Deutschsprachförderung unterstützt werden. Diese Maßnahmen bauen in der Regel auf der allgemeinen Sprachförderung der Integrationskurse auf. Die berufsbezogene Deutschsprachförderung wird vom Bundesamt für Migration und Flüchtlinge koordiniert und durchgeführt. Das Bundesamt für Migration und Flüchtlinge bedient sich zur Durchführung der Maßnahmen privater oder öffentlicher Träger.</w:t>
      </w:r>
    </w:p>
    <w:p>
      <w:r>
        <w:t xml:space="preserve">(2) Ein Ausländer ist zur Teilnahme an einer Maßnahme der berufsbezogenen Deutschsprachförderung verpflichtet, wenn er Leistungen nach dem Zweiten Buch Sozialgesetzbuch bezieht und ihn der Träger der Grundsicherung für Arbeitsuchende nach § 15a Absatz 1 Satz 1 Nummer 3 des Zweiten Buches Sozialgesetzbuch zur Teilnahme an der Maßnahme verpflichtet. Leistungen zur Eingliederung in Arbeit nach dem Zweiten Buch Sozialgesetzbuch und Leistungen der aktiven Arbeitsförderung nach dem Dritten Buch Sozialgesetzbuch bleiben unberührt.</w:t>
      </w:r>
    </w:p>
    <w:p>
      <w:r>
        <w:t xml:space="preserve">(3) Das Bundesministerium für Arbeit und Soziales wird ermächtigt, durch Rechtsverordnung ohne Zustimmung des Bundesrates im Einvernehmen mit dem Bundesministerium des Innern, für Bau und Heimat nähere Einzelheiten der berufsbezogenen Deutschsprachförderung, insbesondere die Grundstruktur, die Zielgruppen, die Dauer, die Lerninhalte und die Durchführung der Kurse, die Vorgaben bezüglich der Auswahl und Zulassung der Kursträger sowie die Voraussetzungen und die Rahmenbedingungen für den Zugang und die ordnungsgemäße und erfolgreiche Teilnahme einschließlich ihrer Abschlusszertifikate und der Kostentragung, sowie die Datenverarbeitung nach § 88a Absatz 3 zu regeln.</w:t>
      </w:r>
    </w:p>
    <w:p>
      <w:r>
        <w:rPr>
          <w:color w:val="555555"/>
          <w:sz w:val="17"/>
        </w:rPr>
        <w:t xml:space="preserve">Zitiervorschlag: § 45a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