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AufenthG 2004 — Aufenthaltstitel für ehemalige Deutsche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Einem ehemaligen Deutschen ist</w:t>
      </w:r>
    </w:p>
    <w:p>
      <w:pPr>
        <w:ind w:left="420"/>
      </w:pPr>
      <w:r>
        <w:t xml:space="preserve">1. eine Niederlassungserlaubnis zu erteilen, wenn er bei Verlust der deutschen Staatsangehörigkeit seit fünf Jahren als Deutscher seinen gewöhnlichen Aufenthalt im Bundesgebiet hatte,</w:t>
      </w:r>
    </w:p>
    <w:p>
      <w:pPr>
        <w:ind w:left="420"/>
      </w:pPr>
      <w:r>
        <w:t xml:space="preserve">2. eine Aufenthaltserlaubnis zu erteilen, wenn er bei Verlust der deutschen Staatsangehörigkeit seit mindestens einem Jahr seinen gewöhnlichen Aufenthalt im Bundesgebiet hatte.</w:t>
      </w:r>
    </w:p>
    <w:p>
      <w:r>
        <w:t xml:space="preserve">Der Antrag auf Erteilung eines Aufenthaltstitels nach Satz 1 ist innerhalb von sechs Monaten nach Kenntnis vom Verlust der deutschen Staatsangehörigkeit zu stellen. § 81 Abs. 3 gilt entsprechend.</w:t>
      </w:r>
    </w:p>
    <w:p>
      <w:r>
        <w:t xml:space="preserve">(2) Einem ehemaligen Deutschen, der seinen gewöhnlichen Aufenthalt im Ausland hat, kann eine Aufenthaltserlaubnis erteilt werden, wenn er über ausreichende Kenntnisse der deutschen Sprache verfügt.</w:t>
      </w:r>
    </w:p>
    <w:p>
      <w:r>
        <w:t xml:space="preserve">(3) In besonderen Fällen kann der Aufenthaltstitel nach Absatz 1 oder 2 abweichend von § 5 erteilt werden.</w:t>
      </w:r>
    </w:p>
    <w:p>
      <w:r>
        <w:t xml:space="preserve">(4) Die Ausübung einer Erwerbstätigkeit ist innerhalb der Antragsfrist des Absatzes 1 Satz 2 und im Falle der Antragstellung bis zur Entscheidung der Ausländerbehörde über den Antrag erlaubt.</w:t>
      </w:r>
    </w:p>
    <w:p>
      <w:r>
        <w:t xml:space="preserve">(5) Die Absätze 1 bis 4 finden entsprechende Anwendung auf einen Ausländer, der aus einem nicht von ihm zu vertretenden Grund bisher von deutschen Stellen als Deutscher behandelt wurde.</w:t>
      </w:r>
    </w:p>
    <w:p>
      <w:r>
        <w:rPr>
          <w:color w:val="555555"/>
          <w:sz w:val="17"/>
        </w:rPr>
        <w:t xml:space="preserve">Zitiervorschlag: § 38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