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 AufenthG 2004 — Nachzug der Eltern und sonstiger Familienangehöriger</w:t>
      </w:r>
    </w:p>
    <w:p>
      <w:r>
        <w:rPr>
          <w:color w:val="555555"/>
          <w:sz w:val="18"/>
        </w:rPr>
        <w:t xml:space="preserve">Aufenthaltsgesetz</w:t>
      </w:r>
    </w:p>
    <w:p>
      <w:r>
        <w:rPr>
          <w:color w:val="555555"/>
          <w:sz w:val="18"/>
        </w:rPr>
        <w:t xml:space="preserve">Stand: 12.06.2026 (konsolidierte Textfassung, kein amtliches Inkrafttretensdatum)</w:t>
      </w:r>
    </w:p>
    <w:p>
      <w:r>
        <w:t xml:space="preserve">(1) Den Eltern eines minderjährigen Ausländers, der eine Aufenthaltserlaubnis nach § 23 Absatz 4, § 25 Absatz 1 oder Absatz 2 Satz 1, eine Niederlassungserlaubnis nach § 26 Absatz 3 oder nach Erteilung einer Aufenthaltserlaubnis nach § 25 Absatz 2 Satz 2 eine Niederlassungserlaubnis nach § 26 Absatz 4 besitzt, ist abweichend von § 5 Absatz 1 Nummer 1 und § 29 Absatz 1 Satz 1 Nummer 2 eine Aufenthaltserlaubnis zu erteilen, wenn sich kein personensorgeberechtigter Elternteil im Bundesgebiet aufhält.</w:t>
      </w:r>
    </w:p>
    <w:p>
      <w:r>
        <w:t xml:space="preserve">(2) Sonstigen Familienangehörigen eines Ausländers kann zum Familiennachzug eine Aufenthaltserlaubnis erteilt werden, wenn es zur Vermeidung einer außergewöhnlichen Härte erforderlich ist. Auf volljährige Familienangehörige sind § 30 Abs. 3 und § 31, auf minderjährige Familienangehörige ist § 34 entsprechend anzuwenden.</w:t>
      </w:r>
    </w:p>
    <w:p>
      <w:r>
        <w:t xml:space="preserve">(3) Den Eltern eines Ausländers, dem am oder nach dem 1. März 2024 erstmals eine Blaue Karte EU, eine ICT-Karte oder eine Mobiler-ICT-Karte oder ein Aufenthaltstitel nach den §§ 18a, 18b, 18c Absatz 3, den §§ 18d, 18f, 19c Absatz 1 für eine Beschäftigung als leitender Angestellter, als Führungskraft, als Unternehmensspezialist, als Wissenschaftler, als Gastwissenschaftler, als Ingenieur oder Techniker im Forschungsteam eines Gastwissenschaftlers oder als Lehrkraft, nach § 19c Absatz 2 oder 4 Satz 1 oder § 21 erteilt wird, kann eine Aufenthaltserlaubnis zum Familiennachzug erteilt werden; dies gilt auch für die Eltern des Ehegatten, wenn dieser sich dauerhaft im Bundesgebiet aufhält. Die Aufenthaltserlaubnis nach Satz 1 kann nur erteilt werden, wenn die Voraussetzung nach § 5 Absatz 1 Nummer 1 erfüllt ist.</w:t>
      </w:r>
    </w:p>
    <w:p>
      <w:r>
        <w:rPr>
          <w:color w:val="555555"/>
          <w:sz w:val="17"/>
        </w:rPr>
        <w:t xml:space="preserve">Zitiervorschlag: § 36 AufenthG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https://recht.nulegal.eu/gesetze/AufenthG%202004/36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