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AufenthG 2004 — Eigenständiges, unbefristetes Aufenthaltsrecht der Kinder</w:t>
      </w:r>
    </w:p>
    <w:p>
      <w:r>
        <w:rPr>
          <w:color w:val="555555"/>
          <w:sz w:val="18"/>
        </w:rPr>
        <w:t xml:space="preserve">Aufenthaltsgesetz</w:t>
      </w:r>
    </w:p>
    <w:p>
      <w:r>
        <w:rPr>
          <w:color w:val="555555"/>
          <w:sz w:val="18"/>
        </w:rPr>
        <w:t xml:space="preserve">Stand: 10.06.2019 (konsolidierte Textfassung, kein amtliches Inkrafttretensdatum)</w:t>
      </w:r>
    </w:p>
    <w:p>
      <w:r>
        <w:t xml:space="preserve">(1) Einem minderjährigen Ausländer, der eine Aufenthaltserlaubnis nach diesem Abschnitt besitzt, ist abweichend von § 9 Abs. 2 eine Niederlassungserlaubnis zu erteilen, wenn er im Zeitpunkt der Vollendung seines 16. Lebensjahres seit fünf Jahren im Besitz der Aufenthaltserlaubnis ist. Das Gleiche gilt, wenn</w:t>
      </w:r>
    </w:p>
    <w:p>
      <w:pPr>
        <w:ind w:left="420"/>
      </w:pPr>
      <w:r>
        <w:t xml:space="preserve">1. der Ausländer volljährig und seit fünf Jahren im Besitz der Aufenthaltserlaubnis ist,</w:t>
      </w:r>
    </w:p>
    <w:p>
      <w:pPr>
        <w:ind w:left="420"/>
      </w:pPr>
      <w:r>
        <w:t xml:space="preserve">2. er über ausreichende Kenntnisse der deutschen Sprache verfügt und</w:t>
      </w:r>
    </w:p>
    <w:p>
      <w:pPr>
        <w:ind w:left="420"/>
      </w:pPr>
      <w:r>
        <w:t xml:space="preserve">3. sein Lebensunterhalt gesichert ist oder er sich in einer Ausbildung befindet, die zu einem anerkannten schulischen oder beruflichen Bildungsabschluss oder einem Hochschulabschluss führt.</w:t>
      </w:r>
    </w:p>
    <w:p>
      <w:r>
        <w:t xml:space="preserve">(2) Auf die nach Absatz 1 erforderliche Dauer des Besitzes der Aufenthaltserlaubnis werden in der Regel nicht die Zeiten angerechnet, in denen der Ausländer außerhalb des Bundesgebiets die Schule besucht hat.</w:t>
      </w:r>
    </w:p>
    <w:p>
      <w:r>
        <w:t xml:space="preserve">(3) Ein Anspruch auf Erteilung einer Niederlassungserlaubnis nach Absatz 1 besteht nicht, wenn</w:t>
      </w:r>
    </w:p>
    <w:p>
      <w:pPr>
        <w:ind w:left="420"/>
      </w:pPr>
      <w:r>
        <w:t xml:space="preserve">1. ein auf dem persönlichen Verhalten des Ausländers beruhendes Ausweisungsinteresse besteht,</w:t>
      </w:r>
    </w:p>
    <w:p>
      <w:pPr>
        <w:ind w:left="420"/>
      </w:pPr>
      <w:r>
        <w:t xml:space="preserve">2. der Ausländer in den letzten drei Jahren wegen einer vorsätzlichen Straftat zu einer Jugendstrafe von mindestens sechs oder einer Freiheitsstrafe von mindestens drei Monaten oder einer Geldstrafe von mindestens 90 Tagessätzen verurteilt worden oder wenn die Verhängung einer Jugendstrafe ausgesetzt ist oder</w:t>
      </w:r>
    </w:p>
    <w:p>
      <w:pPr>
        <w:ind w:left="420"/>
      </w:pPr>
      <w:r>
        <w:t xml:space="preserve">3. der Lebensunterhalt nicht ohne Inanspruchnahme von Leistungen nach dem Zweiten oder Zwölften Buch Sozialgesetzbuch oder Jugendhilfe nach dem Achten Buch Sozialgesetzbuch gesichert ist, es sei denn, der Ausländer befindet sich in einer Ausbildung, die zu einem anerkannten schulischen oder beruflichen Bildungsabschluss führt.</w:t>
      </w:r>
    </w:p>
    <w:p>
      <w:r>
        <w:t xml:space="preserve">In den Fällen des Satzes 1 kann die Niederlassungserlaubnis erteilt oder die Aufenthaltserlaubnis verlängert werden. Ist im Falle des Satzes 1 Nr. 2 die Jugend- oder Freiheitsstrafe zur Bewährung oder die Verhängung einer Jugendstrafe ausgesetzt, wird die Aufenthaltserlaubnis in der Regel bis zum Ablauf der Bewährungszeit verlängert.</w:t>
      </w:r>
    </w:p>
    <w:p>
      <w:r>
        <w:t xml:space="preserve">(4) Von den in Absatz 1 Satz 2 Nr. 2 und 3 und Absatz 3 Satz 1 Nr. 3 bezeichneten Voraussetzungen ist abzusehen, wenn sie von dem Ausländer wegen einer körperlichen, geistigen oder seelischen Krankheit oder Behinderung nicht erfüllt werden können.</w:t>
      </w:r>
    </w:p>
    <w:p>
      <w:r>
        <w:rPr>
          <w:color w:val="555555"/>
          <w:sz w:val="17"/>
        </w:rPr>
        <w:t xml:space="preserve">Zitiervorschlag: § 35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