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34 AufenthG 2004 — Aufenthaltsrecht der Kinder</w:t>
      </w:r>
    </w:p>
    <w:p>
      <w:r>
        <w:rPr>
          <w:color w:val="555555"/>
          <w:sz w:val="18"/>
        </w:rPr>
        <w:t xml:space="preserve">Aufenthaltsgesetz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einem Kind erteilte Aufenthaltserlaubnis ist abweichend von § 5 Abs. 1 Nr. 1 und § 29 Abs. 1 Nr. 2 zu verlängern, solange ein personensorgeberechtigter Elternteil eine Aufenthaltserlaubnis, Niederlassungserlaubnis oder eine Erlaubnis zum Daueraufenthalt – EU besitzt und das Kind mit ihm in familiärer Lebensgemeinschaft lebt oder das Kind im Falle seiner Ausreise ein Wiederkehrrecht gemäß § 37 hätte.</w:t>
      </w:r>
    </w:p>
    <w:p>
      <w:r>
        <w:t xml:space="preserve">(2) Mit Eintritt der Volljährigkeit wird die einem Kind erteilte Aufenthaltserlaubnis zu einem eigenständigen, vom Familiennachzug unabhängigen Aufenthaltsrecht. Das Gleiche gilt bei Erteilung einer Niederlassungserlaubnis und der Erlaubnis zum Daueraufenthalt – EU oder wenn die Aufenthaltserlaubnis in entsprechender Anwendung des § 37 verlängert wird.</w:t>
      </w:r>
    </w:p>
    <w:p>
      <w:r>
        <w:t xml:space="preserve">(3) Die Aufenthaltserlaubnis kann verlängert werden, solange die Voraussetzungen für die Erteilung der Niederlassungserlaubnis und der Erlaubnis zum Daueraufenthalt – EU noch nicht vorliegen.</w:t>
      </w:r>
    </w:p>
    <w:p>
      <w:r>
        <w:rPr>
          <w:color w:val="555555"/>
          <w:sz w:val="17"/>
        </w:rPr>
        <w:t xml:space="preserve">Zitiervorschlag: § 34 AufenthG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https://recht.nulegal.eu/gesetze/AufenthG%202004/34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