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AufenthG 2004 — Familiennachzug zu Ausländern</w:t>
      </w:r>
    </w:p>
    <w:p>
      <w:r>
        <w:rPr>
          <w:color w:val="555555"/>
          <w:sz w:val="18"/>
        </w:rPr>
        <w:t xml:space="preserve">Aufenthaltsgesetz</w:t>
      </w:r>
    </w:p>
    <w:p>
      <w:r>
        <w:rPr>
          <w:color w:val="555555"/>
          <w:sz w:val="18"/>
        </w:rPr>
        <w:t xml:space="preserve">Stand: 12.06.2026 (konsolidierte Textfassung, kein amtliches Inkrafttretensdatum)</w:t>
      </w:r>
    </w:p>
    <w:p>
      <w:r>
        <w:t xml:space="preserve">(1) Für den Familiennachzug zu einem Ausländer muss</w:t>
      </w:r>
    </w:p>
    <w:p>
      <w:pPr>
        <w:ind w:left="420"/>
      </w:pPr>
      <w:r>
        <w:t xml:space="preserve">1. der Ausländer eine Niederlassungserlaubnis, Erlaubnis zum Daueraufenthalt – EU, Aufenthaltserlaubnis, eine Blaue Karte EU, eine ICT-Karte oder eine Mobiler-ICT-Karte besitzen oder sich gemäß § 18e berechtigt im Bundesgebiet aufhalten und</w:t>
      </w:r>
    </w:p>
    <w:p>
      <w:pPr>
        <w:ind w:left="420"/>
      </w:pPr>
      <w:r>
        <w:t xml:space="preserve">2. ausreichender Wohnraum zur Verfügung stehen.</w:t>
      </w:r>
    </w:p>
    <w:p>
      <w:r>
        <w:t xml:space="preserve">Satz 1 Nummer 2, § 5 Absatz 1 Nummer 1 mit Ausnahme des Bestehens ausreichenden Krankenversicherungsschutzes sowie § 27 Absatz 3 Satz 1 finden keine Anwendung, wenn</w:t>
      </w:r>
    </w:p>
    <w:p>
      <w:pPr>
        <w:ind w:left="420"/>
      </w:pPr>
      <w:r>
        <w:t xml:space="preserve">1. der Familiennachzug zu einem Inhaber einer Blauen Karte EU erfolgen soll,</w:t>
      </w:r>
    </w:p>
    <w:p>
      <w:pPr>
        <w:ind w:left="420"/>
      </w:pPr>
      <w:r>
        <w:t xml:space="preserve">2. der Inhaber der Blauen Karte EU unmittelbar vor der Erteilung der Blauen Karte EU im Besitz einer Blauen Karte EU war, die ein anderer Mitgliedstaat der Europäischen Union ausgestellt hat, und</w:t>
      </w:r>
    </w:p>
    <w:p>
      <w:pPr>
        <w:ind w:left="420"/>
      </w:pPr>
      <w:r>
        <w:t xml:space="preserve">3. die familiäre Lebensgemeinschaft bereits in dem anderen Mitgliedstaat der Europäischen Union bestand.</w:t>
      </w:r>
    </w:p>
    <w:p>
      <w:r>
        <w:t xml:space="preserve">(2) Bei dem Ehegatten und dem minderjährigen ledigen Kind eines Ausländers, der eine Aufenthaltserlaubnis nach § 23 Absatz 4, § 25 Absatz 1 oder 2, eine Niederlassungserlaubnis nach § 26 Absatz 3 oder nach Erteilung einer Aufenthaltserlaubnis nach § 25 Absatz 2 Satz 2 eine Niederlassungserlaubnis nach § 26 Absatz 4 besitzt, kann von den Voraussetzungen des § 5 Absatz 1 Nummer 1 und des Absatzes 1 Nummer 2 abgesehen werden. In den Fällen des Satzes 1 ist von diesen Voraussetzungen abzusehen, wenn</w:t>
      </w:r>
    </w:p>
    <w:p>
      <w:pPr>
        <w:ind w:left="420"/>
      </w:pPr>
      <w:r>
        <w:t xml:space="preserve">1. der im Zuge des Familiennachzugs erforderliche Antrag auf Erteilung eines Aufenthaltstitels innerhalb von drei Monaten nach unanfechtbarer Anerkennung als Asylberechtigter oder unanfechtbarer Zuerkennung der Flüchtlingseigenschaft oder subsidiären Schutzes oder nach Erteilung einer Aufenthaltserlaubnis nach § 23 Absatz 4 gestellt wird und</w:t>
      </w:r>
    </w:p>
    <w:p>
      <w:pPr>
        <w:ind w:left="420"/>
      </w:pPr>
      <w:r>
        <w:t xml:space="preserve">2. die Herstellung der familiären Lebensgemeinschaft in einem Staat, der nicht Mitgliedstaat der Europäischen Union ist und zu dem der Ausländer oder seine Familienangehörigen eine besondere Bindung haben, nicht möglich ist.</w:t>
      </w:r>
    </w:p>
    <w:p>
      <w:r>
        <w:t xml:space="preserve">Die in Satz 2 Nr. 1 genannte Frist wird auch durch die rechtzeitige Antragstellung des Ausländers gewahrt.</w:t>
      </w:r>
    </w:p>
    <w:p>
      <w:r>
        <w:t xml:space="preserve">(3) Die Aufenthaltserlaubnis darf dem Ehegatten und dem minderjährigen Kind eines Ausländers, der eine Aufenthaltserlaubnis nach den §§ 22, 23 Absatz 1 oder Absatz 2 oder § 25 Absatz 3 oder Absatz 4a Satz 1, § 25a Absatz 1 oder § 25b Absatz 1 besitzt, nur aus völkerrechtlichen oder humanitären Gründen oder zur Wahrung politischer Interessen der Bundesrepublik Deutschland erteilt werden. § 26 Abs. 4 gilt entsprechend. Ein Familiennachzug wird in den Fällen des § 25 Absatz 4, 4b und 5, § 25a Absatz 2, § 25b Absatz 4, § 104a Abs. 1 Satz 1, § 104b und § 104c nicht gewährt.</w:t>
      </w:r>
    </w:p>
    <w:p>
      <w:r>
        <w:t xml:space="preserve">(4) Die Aufenthaltserlaubnis wird dem Ehegatten und dem minderjährigen ledigen Kind eines Ausländers oder dem minderjährigen ledigen Kind seines Ehegatten abweichend von § 5 Abs. 1 und § 27 Abs. 3 erteilt, wenn dem Ausländer vorübergehender Schutz nach § 24 Abs. 1 gewährt wurde und</w:t>
      </w:r>
    </w:p>
    <w:p>
      <w:pPr>
        <w:ind w:left="420"/>
      </w:pPr>
      <w:r>
        <w:t xml:space="preserve">1. die familiäre Lebensgemeinschaft im Herkunftsland durch die Fluchtsituation aufgehoben wurde und</w:t>
      </w:r>
    </w:p>
    <w:p>
      <w:pPr>
        <w:ind w:left="420"/>
      </w:pPr>
      <w:r>
        <w:t xml:space="preserve">2. der Familienangehörige aus einem anderen Mitgliedstaat der Europäischen Union übernommen wird oder sich außerhalb der Europäischen Union befindet und schutzbedürftig ist.</w:t>
      </w:r>
    </w:p>
    <w:p>
      <w:r>
        <w:t xml:space="preserve">Die Erteilung einer Aufenthaltserlaubnis an sonstige Familienangehörige eines Ausländers, dem vorübergehender Schutz nach § 24 Abs. 1 gewährt wurde, richtet sich nach § 36. Auf die nach diesem Absatz aufgenommenen Familienangehörigen findet § 24 Anwendung.</w:t>
      </w:r>
    </w:p>
    <w:p>
      <w:r>
        <w:t xml:space="preserve">(5) Bei dem Ehegatten oder minderjährigen ledigen Kind eines Ausländers, der im Besitz einer Blauen Karte EU, einer ICT-Karte oder einer Mobiler-ICT-Karte oder eines Aufenthaltstitels nach den §§ 18a, 18b, 18c Absatz 3, den §§ 18d, 18f, 19c Absatz 1 für eine Beschäftigung als leitender Angestellter, als Führungskraft, als Unternehmensspezialist, als Wissenschaftler, als Gastwissenschaftler, als Ingenieur oder Techniker im Forschungsteam eines Gastwissenschaftlers oder als Lehrkraft, nach § 19c Absatz 2 oder 4 Satz 1 oder § 21 ist, wird von der Voraussetzung des Absatzes 1 Nummer 2 abgesehen.</w:t>
      </w:r>
    </w:p>
    <w:p>
      <w:r>
        <w:rPr>
          <w:color w:val="555555"/>
          <w:sz w:val="17"/>
        </w:rPr>
        <w:t xml:space="preserve">Zitiervorschlag: § 29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