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AufenthG 2004 — Aufnahme aus dem Ausland</w:t>
      </w:r>
    </w:p>
    <w:p>
      <w:r>
        <w:rPr>
          <w:color w:val="555555"/>
          <w:sz w:val="18"/>
        </w:rPr>
        <w:t xml:space="preserve">Aufenthaltsgesetz</w:t>
      </w:r>
    </w:p>
    <w:p>
      <w:r>
        <w:rPr>
          <w:color w:val="555555"/>
          <w:sz w:val="18"/>
        </w:rPr>
        <w:t xml:space="preserve">Stand: 27.06.2020 (konsolidierte Textfassung, kein amtliches Inkrafttretensdatum)</w:t>
      </w:r>
    </w:p>
    <w:p>
      <w:r>
        <w:t xml:space="preserve">Einem Ausländer kann für die Aufnahme aus dem Ausland aus völkerrechtlichen oder dringenden humanitären Gründen eine Aufenthaltserlaubnis erteilt werden. Eine Aufenthaltserlaubnis ist zu erteilen, wenn das Bundesministerium des Innern, für Bau und Heimat oder die von ihm bestimmte Stelle zur Wahrung politischer Interessen der Bundesrepublik Deutschland die Aufnahme erklärt hat.</w:t>
      </w:r>
    </w:p>
    <w:p>
      <w:r>
        <w:rPr>
          <w:color w:val="555555"/>
          <w:sz w:val="17"/>
        </w:rPr>
        <w:t xml:space="preserve">Zitiervorschlag: § 22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