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20b AufenthG 2004 — Punktevergabe für die Chancenkarte; Verordnungsermächtigung</w:t>
      </w:r>
    </w:p>
    <w:p>
      <w:r>
        <w:rPr>
          <w:color w:val="555555"/>
          <w:sz w:val="18"/>
        </w:rPr>
        <w:t xml:space="preserve">Aufenthaltsgesetz</w:t>
      </w:r>
    </w:p>
    <w:p>
      <w:r>
        <w:rPr>
          <w:color w:val="555555"/>
          <w:sz w:val="18"/>
        </w:rPr>
        <w:t xml:space="preserve">Stand: 01.06.2024 (konsolidierte Textfassung, kein amtliches Inkrafttretensdatum)</w:t>
      </w:r>
    </w:p>
    <w:p>
      <w:r>
        <w:t xml:space="preserve">(1) Punkte im Hinblick auf eine Erteilung der Chancenkarte nach § 20a Absatz 3 Nummer 2 erhält der Ausländer jeweils,</w:t>
      </w:r>
    </w:p>
    <w:p>
      <w:pPr>
        <w:ind w:left="420"/>
      </w:pPr>
      <w:r>
        <w:t xml:space="preserve">1. wenn er eine ausländische Berufsqualifikation hat, für die eine nach den Regelungen des Bundes oder der Länder für die berufliche Anerkennung zuständige Stelle festgestellt hat, dass Anpassungs- oder Ausgleichsmaßnahmen oder weitere Qualifikationen erforderlich sind</w:t>
      </w:r>
    </w:p>
    <w:p>
      <w:pPr>
        <w:ind w:left="780"/>
      </w:pPr>
      <w:r>
        <w:t xml:space="preserve">a) für die Feststellung, dass die erworbene Berufsqualifikation gleichwertig mit einer inländischen Berufsqualifikation ist, oder</w:t>
      </w:r>
    </w:p>
    <w:p>
      <w:pPr>
        <w:ind w:left="780"/>
      </w:pPr>
      <w:r>
        <w:t xml:space="preserve">b) für die Erteilung der Berufsausübungserlaubnis in einem Beruf, der im Inland reglementiert ist,</w:t>
      </w:r>
    </w:p>
    <w:p>
      <w:pPr>
        <w:ind w:left="420"/>
      </w:pPr>
      <w:r>
        <w:t xml:space="preserve">2. wenn er gute deutsche Sprachkenntnisse nachweist,</w:t>
      </w:r>
    </w:p>
    <w:p>
      <w:pPr>
        <w:ind w:left="420"/>
      </w:pPr>
      <w:r>
        <w:t xml:space="preserve">3. wenn er ausreichende deutsche Sprachkenntnisse nachweist, es sei denn, er erhält Punkte, weil er Sprachkenntnisse nach Nummer 2 nachweist,</w:t>
      </w:r>
    </w:p>
    <w:p>
      <w:pPr>
        <w:ind w:left="420"/>
      </w:pPr>
      <w:r>
        <w:t xml:space="preserve">4. wenn er hinreichende deutsche Sprachkenntnisse nachweist, es sei denn, er erhält Punkte, weil er Sprachkenntnisse nach Nummer 2 oder Nummer 3 nachweist,</w:t>
      </w:r>
    </w:p>
    <w:p>
      <w:pPr>
        <w:ind w:left="420"/>
      </w:pPr>
      <w:r>
        <w:t xml:space="preserve">5. wenn er englische Sprachkenntnisse auf dem Niveau C1 des Gemeinsamen Europäischen Referenzrahmens für Sprachen nachweist,</w:t>
      </w:r>
    </w:p>
    <w:p>
      <w:pPr>
        <w:ind w:left="420"/>
      </w:pPr>
      <w:r>
        <w:t xml:space="preserve">6. wenn er nach Erwerb einer Berufsqualifikation oder eines Hochschulabschlusses nach § 20a Absatz 4 Satz 3 Nummer 1 Buchstabe b in den letzten sieben Jahren mindestens fünf Jahre Berufserfahrung, die im Zusammenhang mit der Berufsqualifikation steht, erworben hat,</w:t>
      </w:r>
    </w:p>
    <w:p>
      <w:pPr>
        <w:ind w:left="420"/>
      </w:pPr>
      <w:r>
        <w:t xml:space="preserve">7. wenn er nach Erwerb einer Berufsqualifikation oder eines Hochschulabschlusses nach § 20a Absatz 4 Satz 3 Nummer 1 Buchstabe b in den letzten fünf Jahren mindestens zwei Jahre Berufserfahrung, die im Zusammenhang mit der Berufsqualifikation steht, erworben hat und keine Punkte nach Nummer 6 erhält,</w:t>
      </w:r>
    </w:p>
    <w:p>
      <w:pPr>
        <w:ind w:left="420"/>
      </w:pPr>
      <w:r>
        <w:t xml:space="preserve">8. wenn die erworbene Berufsqualifikation nach § 20a Absatz 4 Satz 3 Nummer 1 einer der Berufsgruppen nach § 18g Absatz 1 Satz 2 Nummer 1 zugehört,</w:t>
      </w:r>
    </w:p>
    <w:p>
      <w:pPr>
        <w:ind w:left="420"/>
      </w:pPr>
      <w:r>
        <w:t xml:space="preserve">9. wenn er bei der Beantragung der Chancenkarte nicht älter als 35 Jahre ist,</w:t>
      </w:r>
    </w:p>
    <w:p>
      <w:pPr>
        <w:ind w:left="420"/>
      </w:pPr>
      <w:r>
        <w:t xml:space="preserve">10. wenn er bei der Beantragung der Chancenkarte älter als 35 Jahre und nicht älter als 40 Jahre ist,</w:t>
      </w:r>
    </w:p>
    <w:p>
      <w:pPr>
        <w:ind w:left="420"/>
      </w:pPr>
      <w:r>
        <w:t xml:space="preserve">11. wenn er sich in den vergangenen fünf Jahren mindestens sechs Monate lang rechtmäßig und ununterbrochen im Bundesgebiet aufgehalten hat; unschädlich sind Unterbrechungen, die dazu geführt haben, dass sich bei einer Gesamtbetrachtung der räumliche Schwerpunkt des Aufenthalts weiterhin im Bundesgebiet befunden hatte, und</w:t>
      </w:r>
    </w:p>
    <w:p>
      <w:pPr>
        <w:ind w:left="420"/>
      </w:pPr>
      <w:r>
        <w:t xml:space="preserve">12. wenn sein Ehegatte oder eingetragener Lebenspartner die Voraussetzungen für die Erteilung der Chancenkarte erfüllt, bei derselben zuständigen Stelle ebenfalls eine Chancenkarte beantragt oder beantragt hat, gemeinsam mit dem Ausländer nach Deutschland einreist oder einzureisen beabsichtigt und der Ausländer bei der Antragstellung einen Bezug zum bestimmten Antrag des Ehegatten oder eingetragenen Lebenspartners herstellt.</w:t>
      </w:r>
    </w:p>
    <w:p>
      <w:r>
        <w:t xml:space="preserve">Erhält der Ausländer nach Satz 1 Nummer 1 Punkte, so entfallen bei ihm für die Erteilung der Chancenkarte die in § 20a Absatz 4 Satz 3 Nummer 1 genannten Voraussetzungen.</w:t>
      </w:r>
    </w:p>
    <w:p>
      <w:r>
        <w:t xml:space="preserve">(2) Für die in Absatz 1 Satz 1 genannten Merkmale werden Punkte nach der Tabelle in der Anlage zu diesem Gesetz vergeben. Die Voraussetzung nach § 20a Absatz 3 Nummer 2 ist erfüllt, wenn die in der Tabelle genannte Mindestpunktzahl erreicht ist.</w:t>
      </w:r>
    </w:p>
    <w:p>
      <w:r>
        <w:t xml:space="preserve">(3) Die Bundesregierung wird ermächtigt, zur Steuerung der Erwerbsmigration nach dem Punktesystem des § 20a Absatz 3 Nummer 2 und nach den Absätzen 1 und 2 durch Rechtsverordnung, die nicht der Zustimmung des Bundesrats bedarf, die Tabelle in der Anlage zu diesem Gesetz zu ändern hinsichtlich der für einzelne Merkmale nach Absatz 1 jeweils zu vergebenden Punkte und hinsichtlich der Mindestpunktzahl, die zu erreichen ist, um die Voraussetzung nach § 20a Absatz 3 Nummer 2 zu erfüllen.</w:t>
      </w:r>
    </w:p>
    <w:p>
      <w:r>
        <w:rPr>
          <w:color w:val="555555"/>
          <w:sz w:val="17"/>
        </w:rPr>
        <w:t xml:space="preserve">Zitiervorschlag: § 20b AufenthG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https://recht.nulegal.eu/gesetze/AufenthG%202004/20b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