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19c AufenthG 2004 — Sonstige Beschäftigungszwecke; Beamte</w:t>
      </w:r>
    </w:p>
    <w:p>
      <w:r>
        <w:rPr>
          <w:color w:val="555555"/>
          <w:sz w:val="18"/>
        </w:rPr>
        <w:t xml:space="preserve">Aufenthaltsgesetz</w:t>
      </w:r>
    </w:p>
    <w:p>
      <w:r>
        <w:rPr>
          <w:color w:val="555555"/>
          <w:sz w:val="18"/>
        </w:rPr>
        <w:t xml:space="preserve">Stand: 05.03.2020 (konsolidierte Textfassung, kein amtliches Inkrafttretensdatum)</w:t>
      </w:r>
    </w:p>
    <w:p>
      <w:r>
        <w:t xml:space="preserve">(1) Einem Ausländer kann unabhängig von einer Qualifikation als Fachkraft eine Aufenthaltserlaubnis zur Ausübung einer Beschäftigung erteilt werden, wenn die Beschäftigungsverordnung oder eine zwischenstaatliche Vereinbarung bestimmt, dass der Ausländer zur Ausübung dieser Beschäftigung zugelassen werden kann.</w:t>
      </w:r>
    </w:p>
    <w:p>
      <w:r>
        <w:t xml:space="preserve">(2) Einem Ausländer mit ausgeprägten berufspraktischen Kenntnissen kann eine Aufenthaltserlaubnis zur Ausübung einer qualifizierten Beschäftigung erteilt werden, wenn die Beschäftigungsverordnung bestimmt, dass der Ausländer zur Ausübung dieser Beschäftigung zugelassen werden kann.</w:t>
      </w:r>
    </w:p>
    <w:p>
      <w:r>
        <w:t xml:space="preserve">(3) Einem Ausländer kann im begründeten Einzelfall eine Aufenthaltserlaubnis erteilt werden, wenn an seiner Beschäftigung ein öffentliches, insbesondere ein regionales, wirtschaftliches oder arbeitsmarktpolitisches Interesse besteht.</w:t>
      </w:r>
    </w:p>
    <w:p>
      <w:r>
        <w:t xml:space="preserve">(4) Einem Ausländer, der in einem Beamtenverhältnis zu einem deutschen Dienstherrn steht, wird ohne Zustimmung der Bundesagentur für Arbeit eine Aufenthaltserlaubnis zur Erfüllung seiner Dienstpflichten im Bundesgebiet erteilt. Die Aufenthaltserlaubnis wird für die Dauer von drei Jahren erteilt, wenn das Dienstverhältnis nicht auf einen kürzeren Zeitraum befristet ist. Nach drei Jahren wird eine Niederlassungserlaubnis abweichend von § 9 Absatz 2 Satz 1 Nummer 1 und 3 erteilt.</w:t>
      </w:r>
    </w:p>
    <w:p>
      <w:r>
        <w:rPr>
          <w:color w:val="555555"/>
          <w:sz w:val="17"/>
        </w:rPr>
        <w:t xml:space="preserve">Zitiervorschlag: § 19c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