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18b AufenthG 2004 — Fachkräfte mit akademischer Ausbildung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18.11.2023 (konsolidierte Textfassung, kein amtliches Inkrafttretensdatum)</w:t>
      </w:r>
    </w:p>
    <w:p>
      <w:r>
        <w:t xml:space="preserve">Einer Fachkraft mit akademischer Ausbildung wird eine Aufenthaltserlaubnis zur Ausübung jeder qualifizierten Beschäftigung erteilt.</w:t>
      </w:r>
    </w:p>
    <w:p>
      <w:r>
        <w:rPr>
          <w:color w:val="555555"/>
          <w:sz w:val="17"/>
        </w:rPr>
        <w:t xml:space="preserve">Zitiervorschlag: § 18b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https://recht.nulegal.eu/gesetze/AufenthG%202004/18b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