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18a AufenthG 2004 — Fachkräfte mit Berufsausbildung</w:t>
      </w:r>
    </w:p>
    <w:p>
      <w:r>
        <w:rPr>
          <w:color w:val="555555"/>
          <w:sz w:val="18"/>
        </w:rPr>
        <w:t xml:space="preserve">Aufenthaltsgesetz</w:t>
      </w:r>
    </w:p>
    <w:p>
      <w:r>
        <w:rPr>
          <w:color w:val="555555"/>
          <w:sz w:val="18"/>
        </w:rPr>
        <w:t xml:space="preserve">Stand: 18.11.2023 (konsolidierte Textfassung, kein amtliches Inkrafttretensdatum)</w:t>
      </w:r>
    </w:p>
    <w:p>
      <w:r>
        <w:t xml:space="preserve">Einer Fachkraft mit Berufsausbildung wird eine Aufenthaltserlaubnis zur Ausübung jeder qualifizierten Beschäftigung erteilt.</w:t>
      </w:r>
    </w:p>
    <w:p>
      <w:r>
        <w:rPr>
          <w:color w:val="555555"/>
          <w:sz w:val="17"/>
        </w:rPr>
        <w:t xml:space="preserve">Zitiervorschlag: § 18a AufenthG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https://recht.nulegal.eu/gesetze/AufenthG%202004/18a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