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AufenthG 2004 — Grundsatz der Fachkräfteeinwanderung; allgemeine Bestimmungen</w:t>
      </w:r>
    </w:p>
    <w:p>
      <w:r>
        <w:rPr>
          <w:color w:val="555555"/>
          <w:sz w:val="18"/>
        </w:rPr>
        <w:t xml:space="preserve">Aufenthaltsgesetz</w:t>
      </w:r>
    </w:p>
    <w:p>
      <w:r>
        <w:rPr>
          <w:color w:val="555555"/>
          <w:sz w:val="18"/>
        </w:rPr>
        <w:t xml:space="preserve">Stand: 07.08.2026 (konsolidierte Textfassung, kein amtliches Inkrafttretensdatum)</w:t>
      </w:r>
    </w:p>
    <w:p>
      <w:r>
        <w:t xml:space="preserve">(1) Die Zulassung ausländischer Beschäftigter orientiert sich an den Erfordernissen des Wirtschafts- und Wissenschaftsstandortes Deutschland unter Berücksichtigung der Verhältnisse auf dem Arbeitsmarkt. Die besonderen Möglichkeiten für ausländische Fach- und Arbeitskräfte dienen der Sicherung der Fach- und Arbeitskräftebasis und der Stärkung der sozialen Sicherungssysteme. Sie sind ausgerichtet auf die nachhaltige Integration von Fachkräften sowie Arbeitskräften mit ausgeprägter Berufserfahrung in den Arbeitsmarkt und die Gesellschaft unter Beachtung der Interessen der öffentlichen Sicherheit.</w:t>
      </w:r>
    </w:p>
    <w:p>
      <w:r>
        <w:t xml:space="preserve">(2) Die Erteilung eines Aufenthaltstitels zur Ausübung einer Beschäftigung nach diesem Abschnitt setzt voraus, dass</w:t>
      </w:r>
    </w:p>
    <w:p>
      <w:pPr>
        <w:ind w:left="420"/>
      </w:pPr>
      <w:r>
        <w:t xml:space="preserve">1. ein konkretes Arbeitsplatzangebot vorliegt,</w:t>
      </w:r>
    </w:p>
    <w:p>
      <w:pPr>
        <w:ind w:left="420"/>
      </w:pPr>
      <w:r>
        <w:t xml:space="preserve">2. die Bundesagentur für Arbeit nach § 39 zugestimmt hat; dies gilt nicht, wenn durch Gesetz, zwischenstaatliche Vereinbarung oder durch die Beschäftigungsverordnung bestimmt ist, dass die Ausübung der Beschäftigung ohne Zustimmung der Bundesagentur für Arbeit zulässig ist; in diesem Fall kann die Erteilung des Aufenthaltstitels auch versagt werden, wenn einer der Tatbestände des § 40 Absatz 2 oder 3 vorliegt,</w:t>
      </w:r>
    </w:p>
    <w:p>
      <w:pPr>
        <w:ind w:left="420"/>
      </w:pPr>
      <w:r>
        <w:t xml:space="preserve">3. eine Berufsausübungserlaubnis erteilt wurde oder zugesagt ist, soweit diese erforderlich ist,</w:t>
      </w:r>
    </w:p>
    <w:p>
      <w:pPr>
        <w:ind w:left="420"/>
      </w:pPr>
      <w:r>
        <w:t xml:space="preserve">4. die Gleichwertigkeit der Qualifikation festgestellt wurde oder ein anerkannter ausländischer oder ein einem deutschen Hochschulabschluss vergleichbarer ausländischer Hochschulabschluss vorliegt, soweit dies eine Voraussetzung für die Erteilung des Aufenthaltstitels ist,</w:t>
      </w:r>
    </w:p>
    <w:p>
      <w:pPr>
        <w:ind w:left="420"/>
      </w:pPr>
      <w:r>
        <w:t xml:space="preserve">4a. der Ausländer und der Arbeitgeber versichern, dass die Beschäftigung tatsächlich ausgeübt werden soll, und</w:t>
      </w:r>
    </w:p>
    <w:p>
      <w:pPr>
        <w:ind w:left="420"/>
      </w:pPr>
      <w:r>
        <w:t xml:space="preserve">5. in den Fällen der erstmaligen Erteilung eines Aufenthaltstitels nach § 18a oder § 18b nach Vollendung des 45. Lebensjahres des Ausländers die Höhe des Gehalts mindestens 55 Prozent der jährlichen Beitragsbemessungsgrenze in der allgemeinen Rentenversicherung entspricht, es sei denn, der Ausländer kann den Nachweis über eine angemessene Altersversorgung erbringen. Von den Voraussetzungen nach Satz 1 kann abgesehen werden, wenn ein öffentliches, insbesondere ein regionales, wirtschaftliches oder arbeitsmarktpolitisches Interesse an der Beschäftigung des Ausländers besteht, insbesondere, wenn die Gehaltsschwelle nur geringfügig unterschritten oder die Altersgrenze nur geringfügig überschritten wird. Das Bundesministerium des Innern, für Bau und Heimat gibt das Mindestgehalt für jedes Kalenderjahr jeweils bis zum 31. Dezember des Vorjahres im Bundesanzeiger bekannt.</w:t>
      </w:r>
    </w:p>
    <w:p>
      <w:r>
        <w:t xml:space="preserve">(3) Fachkraft im Sinne dieses Gesetzes ist ein Ausländer, der</w:t>
      </w:r>
    </w:p>
    <w:p>
      <w:pPr>
        <w:ind w:left="420"/>
      </w:pPr>
      <w:r>
        <w:t xml:space="preserve">1. eine inländische qualifizierte Berufsausbildung oder eine mit einer inländischen qualifizierten Berufsausbildung gleichwertige ausländische Berufsqualifikation besitzt (Fachkraft mit Berufsausbildung) oder</w:t>
      </w:r>
    </w:p>
    <w:p>
      <w:pPr>
        <w:ind w:left="420"/>
      </w:pPr>
      <w:r>
        <w:t xml:space="preserve">2. einen deutschen, einen anerkannten ausländischen oder einen einem deutschen Hochschulabschluss vergleichbaren ausländischen Hochschulabschluss besitzt (Fachkraft mit akademischer Ausbildung).</w:t>
      </w:r>
    </w:p>
    <w:p>
      <w:r>
        <w:t xml:space="preserve">(4) Aufenthaltstitel gemäß den §§ 18a, 18b, 18g und 19c werden für die Dauer von vier Jahren oder, wenn das Arbeitsverhältnis oder die Zustimmung der Bundesagentur für Arbeit auf einen kürzeren Zeitraum befristet sind, für diesen kürzeren Zeitraum zuzüglich sechs Monate, nicht jedoch für länger als vier Jahre, erteilt.</w:t>
      </w:r>
    </w:p>
    <w:p>
      <w:r>
        <w:t xml:space="preserve">(5) In Fällen, in denen die Beschäftigung, für die ein Aufenthaltstitel nach diesem Abschnitt erteilt wurde, vorzeitig beendet und die zuständige Ausländerbehörde hierüber gemäß § 82 Absatz 6 Satz 1 oder § 4a Absatz 5 Satz 3 Nummer 3 unterrichtet wurde, ist die nachträgliche Verkürzung der Frist gemäß § 7 Absatz 2 Satz 2 so vorzunehmen, dass ab Beendigung der Beschäftigung eine Geltungsdauer von mindestens sechs Monaten verbleibt. Die ab Beendigung der Beschäftigung verbleibende Geltungsdauer beträgt mindestens neun Monate, wenn hinreichende Gründe für die Annahme vorliegen, dass der Ausländer besonders ausbeuterische Arbeitsbedingungen im Sinne von Artikel 2 Buchstabe i der Richtlinie 2009/52/EG des Europäischen Parlaments und des Rates erfahren hat. Die Fristverkürzung nach Satz 1 und 2 darf nicht dazu führen, dass die ursprüngliche Geltungsdauer des Aufenthaltstitels überschritten wird.</w:t>
      </w:r>
    </w:p>
    <w:p>
      <w:r>
        <w:rPr>
          <w:color w:val="555555"/>
          <w:sz w:val="17"/>
        </w:rPr>
        <w:t xml:space="preserve">Zitiervorschlag: § 18 AufenthG 2004</w:t>
      </w:r>
    </w:p>
    <w:p>
      <w:r>
        <w:rPr>
          <w:color w:val="555555"/>
          <w:sz w:val="17"/>
        </w:rPr>
        <w:t xml:space="preserve">Quelle: Bundesamt für Justiz, abgerufen 07.08.2026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