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AufenthG 2004 — Überprüfung an der Außengrenze</w:t>
      </w:r>
    </w:p>
    <w:p>
      <w:r>
        <w:rPr>
          <w:color w:val="555555"/>
          <w:sz w:val="18"/>
        </w:rPr>
        <w:t xml:space="preserve">Aufenthaltsgesetz</w:t>
      </w:r>
    </w:p>
    <w:p>
      <w:r>
        <w:rPr>
          <w:color w:val="555555"/>
          <w:sz w:val="18"/>
        </w:rPr>
        <w:t xml:space="preserve">Stand: 12.06.2026 (konsolidierte Textfassung, kein amtliches Inkrafttretensdatum)</w:t>
      </w:r>
    </w:p>
    <w:p>
      <w:r>
        <w:t xml:space="preserve">(1) Ein Ausländer, der einer Überprüfung nach Artikel 5 Absatz 1 und 2 der Verordnung (EU) 2024/1356 zu unterziehen ist, ist von der zuständigen Behörde zur Durchführung der Überprüfung in einen Transitbereich, eine Einrichtung auf einem Hafengelände oder Flughafengelände, eine Einrichtung im Umfeld einer Grenzübergangsstelle oder in eine Einrichtung im Bundesgebiet zu verbringen. Der Ausländer darf an einer Abreise aus dem Bundesgebiet nicht gehindert werden. Es ist zu gewährleisten, dass er auf Verlangen zu der Grenzübergangsstelle, an der er die Grenze passiert hat, oder, soweit ihm dort kein Verkehrsmittel zur Abreise zur Verfügung steht, an eine andere Grenzübergangsstelle, an der ihm ein Verkehrsmittel zur Abreise zur Verfügung steht, verbracht wird. Den mit der polizeilichen Kontrolle des grenzüberschreitenden Verkehrs beauftragten Behörden muss die Kontrolle seines Aufenthalts möglich bleiben.</w:t>
      </w:r>
    </w:p>
    <w:p>
      <w:r>
        <w:t xml:space="preserve">(2) Ein Ausländer darf zur Sicherstellung der Durchführung der Überprüfung auf richterliche Anordnung in Überprüfungshaft genommen werden, wenn Gefahr besteht, dass er von einem in Absatz 1 genannten Ort flieht. Die Fluchtgefahr wird widerleglich vermutet, wenn der Ausländer ausdrücklich erklärt hat, dass er sich der Überprüfung entziehen will oder er eine Flucht schon vorbereitet oder zu ihr unmittelbar angesetzt hat. Die für den Haftantrag zuständige Behörde kann einen Ausländer ohne vorherige richterliche Anordnung festhalten und vorläufig in Gewahrsam nehmen, wenn</w:t>
      </w:r>
    </w:p>
    <w:p>
      <w:pPr>
        <w:ind w:left="420"/>
      </w:pPr>
      <w:r>
        <w:t xml:space="preserve">1. der dringende Verdacht für das Vorliegen der Voraussetzungen nach Satz 1 besteht,</w:t>
      </w:r>
    </w:p>
    <w:p>
      <w:pPr>
        <w:ind w:left="420"/>
      </w:pPr>
      <w:r>
        <w:t xml:space="preserve">2. die richterliche Entscheidung über die Anordnung der Überprüfungshaft nicht vorher eingeholt werden kann und</w:t>
      </w:r>
    </w:p>
    <w:p>
      <w:pPr>
        <w:ind w:left="420"/>
      </w:pPr>
      <w:r>
        <w:t xml:space="preserve">3. der begründete Verdacht vorliegt, dass sich der Ausländer der Anordnung der Überprüfungshaft entziehen will.</w:t>
      </w:r>
    </w:p>
    <w:p>
      <w:r>
        <w:t xml:space="preserve">Der Ausländer ist unverzüglich dem Richter zur Entscheidung über die Anordnung der Überprüfungshaft vorzuführen. § 69 Absatz 2 Satz 1 und 4 bis 6 sowie die §§ 70 und 70a des Asylgesetzes gelten entsprechend.</w:t>
      </w:r>
    </w:p>
    <w:p>
      <w:r>
        <w:t xml:space="preserve">(3) Der Zugang zu in Absatz 1 genannten Einrichtungen von Personen und Organisationen, die befugt sind, Rechtsauskunft und Beratungsleistungen zu erbringen, kann durch die für die Einrichtung zuständige Behörde beschränkt werden, wenn dies aus Gründen der Sicherheit, der öffentlichen Ordnung oder für die Gewährleistung der Funktionsfähigkeit der Einrichtung objektiv erforderlich ist und der Zugang dadurch nicht wesentlich erschwert oder unmöglich gemacht wird. Der Zugang für Rechtsvertreter bleibt davon ausgenommen.</w:t>
      </w:r>
    </w:p>
    <w:p>
      <w:r>
        <w:rPr>
          <w:color w:val="555555"/>
          <w:sz w:val="17"/>
        </w:rPr>
        <w:t xml:space="preserve">Zitiervorschlag: § 14a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https://recht.nulegal.eu/gesetze/AufenthG%202004/14a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