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105c AufenthG 2004 — Überleitung von Maßnahmen zur Überwachung ausgewiesener Ausländer aus Gründen der inneren Sicherheit</w:t>
      </w:r>
    </w:p>
    <w:p>
      <w:r>
        <w:rPr>
          <w:color w:val="555555"/>
          <w:sz w:val="18"/>
        </w:rPr>
        <w:t xml:space="preserve">Aufenthaltsgesetz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Maßnahmen und Verpflichtungen nach § 54a Absatz 1 bis 4 in der bis zum 31. Dezember 2015 geltenden Fassung, die vor dem 1. Januar 2016 bestanden, gelten nach dem 1. Januar 2016 als Maßnahmen und Verpflichtungen im Sinne von § 56 in der ab dem 1. Januar 2016 geltenden Fassung.</w:t>
      </w:r>
    </w:p>
    <w:p>
      <w:r>
        <w:rPr>
          <w:color w:val="555555"/>
          <w:sz w:val="17"/>
        </w:rPr>
        <w:t xml:space="preserve">Zitiervorschlag: § 105c AufenthG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https://recht.nulegal.eu/gesetze/AufenthG%202004/105c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