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AufenthG 2004 — Fortgeltung ausländerrechtlicher Maßnahmen und Anrechnung</w:t>
      </w:r>
    </w:p>
    <w:p>
      <w:r>
        <w:rPr>
          <w:color w:val="555555"/>
          <w:sz w:val="18"/>
        </w:rPr>
        <w:t xml:space="preserve">Aufenthaltsgesetz</w:t>
      </w:r>
    </w:p>
    <w:p>
      <w:r>
        <w:rPr>
          <w:color w:val="555555"/>
          <w:sz w:val="18"/>
        </w:rPr>
        <w:t xml:space="preserve">Stand: 10.06.2019 (konsolidierte Textfassung, kein amtliches Inkrafttretensdatum)</w:t>
      </w:r>
    </w:p>
    <w:p>
      <w:r>
        <w:t xml:space="preserve">(1) Die vor dem 1. Januar 2005 getroffenen sonstigen ausländerrechtlichen Maßnahmen, insbesondere zeitliche und räumliche Beschränkungen, Bedingungen und Auflagen, Verbote und Beschränkungen der politischen Betätigung sowie Ausweisungen, Abschiebungsandrohungen, Aussetzungen der Abschiebung und Abschiebungen einschließlich ihrer Rechtsfolgen und der Befristung ihrer Wirkungen sowie begünstigende Maßnahmen, die Anerkennung von Pässen und Passersatzpapieren und Befreiungen von der Passpflicht, Entscheidungen über Kosten und Gebühren, bleiben wirksam. Ebenso bleiben Maßnahmen und Vereinbarungen im Zusammenhang mit Sicherheitsleistungen wirksam, auch wenn sie sich ganz oder teilweise auf Zeiträume nach Inkrafttreten dieses Gesetzes beziehen. Entsprechendes gilt für die kraft Gesetzes eingetretenen Wirkungen der Antragstellung nach § 69 des Ausländergesetzes.</w:t>
      </w:r>
    </w:p>
    <w:p>
      <w:r>
        <w:t xml:space="preserve">(2) Auf die Frist für die Erteilung einer Niederlassungserlaubnis nach § 26 Abs. 4 wird die Zeit des Besitzes einer Aufenthaltsbefugnis oder einer Duldung vor dem 1. Januar 2005 angerechnet.</w:t>
      </w:r>
    </w:p>
    <w:p>
      <w:r>
        <w:rPr>
          <w:color w:val="555555"/>
          <w:sz w:val="17"/>
        </w:rPr>
        <w:t xml:space="preserve">Zitiervorschlag: § 102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