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AufenthG 2004 — Fortgeltung bisheriger Aufenthaltsrechte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(1) Eine vor dem 1. Januar 2005 erteilte Aufenthaltsberechtigung oder unbefristete Aufenthaltserlaubnis gilt fort als Niederlassungserlaubnis entsprechend dem ihrer Erteilung zu Grunde liegenden Aufenthaltszweck und Sachverhalt. Eine unbefristete Aufenthaltserlaubnis, die nach § 1 Abs. 3 des Gesetzes über Maßnahmen für im Rahmen humanitärer Hilfsaktionen aufgenommene Flüchtlinge vom 22. Juli 1980 (BGBl. I S. 1057) oder in entsprechender Anwendung des vorgenannten Gesetzes erteilt worden ist, und eine anschließend erteilte Aufenthaltsberechtigung gelten fort als Niederlassungserlaubnis nach § 23 Abs. 2.</w:t>
      </w:r>
    </w:p>
    <w:p>
      <w:r>
        <w:t xml:space="preserve">(2) Die übrigen Aufenthaltsgenehmigungen gelten fort als Aufenthaltserlaubnisse entsprechend dem ihrer Erteilung zu Grunde liegenden Aufenthaltszweck und Sachverhalt.</w:t>
      </w:r>
    </w:p>
    <w:p>
      <w:r>
        <w:t xml:space="preserve">(3) Ein Aufenthaltstitel, der vor dem 28. August 2007 mit dem Vermerk „Daueraufenthalt-EG“ versehen wurde, gilt als Erlaubnis zum Daueraufenthalt – EU fort.</w:t>
      </w:r>
    </w:p>
    <w:p>
      <w:r>
        <w:t xml:space="preserve">(4) Ein Aufenthaltstitel nach Kapitel 2 Abschnitt 3 und 4, der vor dem 1. März 2020 erteilt wurde, gilt mit den verfügten Nebenbestimmungen entsprechend dem der Erteilung zu Grunde liegenden Aufenthaltszweck und Sachverhalt im Rahmen seiner Gültigkeitsdauer fort.</w:t>
      </w:r>
    </w:p>
    <w:p>
      <w:r>
        <w:rPr>
          <w:color w:val="555555"/>
          <w:sz w:val="17"/>
        </w:rPr>
        <w:t xml:space="preserve">Zitiervorschlag: § 101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https://recht.nulegal.eu/gesetze/AufenthG%202004/101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