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AufenthG 2004 — Sprachliche Anpassung</w:t>
      </w:r>
    </w:p>
    <w:p>
      <w:r>
        <w:rPr>
          <w:color w:val="555555"/>
          <w:sz w:val="18"/>
        </w:rPr>
        <w:t xml:space="preserve">Aufenthaltsgesetz</w:t>
      </w:r>
    </w:p>
    <w:p>
      <w:r>
        <w:rPr>
          <w:color w:val="555555"/>
          <w:sz w:val="18"/>
        </w:rPr>
        <w:t xml:space="preserve">Stand: 27.06.2020 (konsolidierte Textfassung, kein amtliches Inkrafttretensdatum)</w:t>
      </w:r>
    </w:p>
    <w:p>
      <w:r>
        <w:t xml:space="preserve">Das Bundesministerium des Innern, für Bau und Heimat kann durch Rechtsverordnung ohne Zustimmung des Bundesrates die in diesem Gesetz verwendeten Personenbezeichnungen, soweit dies ohne Änderung des Regelungsinhalts möglich und sprachlich sachgerecht ist, durch geschlechtsneutrale oder durch maskuline und feminine Personenbezeichnungen ersetzen und die dadurch veranlassten sprachlichen Anpassungen vornehmen. Das Bundesministerium des Innern, für Bau und Heimat kann nach Erlass einer Verordnung nach Satz 1 den Wortlaut dieses Gesetzes im Bundesgesetzblatt bekannt machen.</w:t>
      </w:r>
    </w:p>
    <w:p>
      <w:r>
        <w:rPr>
          <w:color w:val="555555"/>
          <w:sz w:val="17"/>
        </w:rPr>
        <w:t xml:space="preserve">Zitiervorschlag: § 100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