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AufbhV 2021 — Liquidität des Fonds</w:t>
      </w:r>
    </w:p>
    <w:p>
      <w:r>
        <w:rPr>
          <w:color w:val="555555"/>
          <w:sz w:val="18"/>
        </w:rPr>
        <w:t xml:space="preserve">Aufbauhilfeverordnung 2021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Die Liquidität des Fonds ist durch den Bund auf seine Kosten sicherzustellen.</w:t>
      </w:r>
    </w:p>
    <w:p>
      <w:r>
        <w:rPr>
          <w:color w:val="555555"/>
          <w:sz w:val="17"/>
        </w:rPr>
        <w:t xml:space="preserve">Zitiervorschlag: § 6 AufbhV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https://recht.nulegal.eu/gesetze/AufbhV%202021/6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