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AufbhG — Wirtschaftsplan und Haushaltsrecht</w:t>
      </w:r>
    </w:p>
    <w:p>
      <w:r>
        <w:rPr>
          <w:color w:val="555555"/>
          <w:sz w:val="18"/>
        </w:rPr>
        <w:t xml:space="preserve">Aufbauhilfefonds-Errichtungsgesetz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Alle Einnahmen und Ausgaben des Fonds werden in einem Wirtschaftsplan veranschlagt. Der Wirtschaftsplan ist in Einnahmen und Ausgaben auszugleichen. Er wird für das Wirtschaftsjahr 2013 als Anlage zu der nach § 2 Absatz 4 zu erlassenden Rechtsverordnung veröffentlicht und ab dem Haushaltsjahr 2014 bis zur Auflösung des Fonds als Anlage zum Bundeshaushaltsplan veröffentlicht.</w:t>
      </w:r>
    </w:p>
    <w:p>
      <w:r>
        <w:rPr>
          <w:color w:val="555555"/>
          <w:sz w:val="17"/>
        </w:rPr>
        <w:t xml:space="preserve">Zitiervorschlag: § 5 AufbhG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https://recht.nulegal.eu/gesetze/AufbhG/5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