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AufbhG — Zweck und Mittelverwendung; Verordnungsermächtigung</w:t>
      </w:r>
    </w:p>
    <w:p>
      <w:r>
        <w:rPr>
          <w:color w:val="555555"/>
          <w:sz w:val="18"/>
        </w:rPr>
        <w:t xml:space="preserve">Aufbauhilfefonds-Errichtungsgesetz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Fonds dient der Leistung von Hilfen in den vom Hochwasser im Mai und Juni 2013 betroffenen Ländern zur Beseitigung der Hochwasserschäden und zum Wiederaufbau der zerstörten Infrastruktur.</w:t>
      </w:r>
    </w:p>
    <w:p>
      <w:r>
        <w:t xml:space="preserve">(2) Aus den Mitteln des Fonds werden als Aufbauhilfen geleistet, soweit die Schäden nicht durch Versicherungen oder sonstige Dritte abgedeckt sind:</w:t>
      </w:r>
    </w:p>
    <w:p>
      <w:pPr>
        <w:ind w:left="420"/>
      </w:pPr>
      <w:r>
        <w:t xml:space="preserve">1. Maßnahmen für geschädigte Privathaushalte und Unternehmen sowie für andere Einrichtungen,</w:t>
      </w:r>
    </w:p>
    <w:p>
      <w:pPr>
        <w:ind w:left="420"/>
      </w:pPr>
      <w:r>
        <w:t xml:space="preserve">2. Maßnahmen zur Wiederherstellung der Infrastruktur der betroffenen Länder und Gemeinden und weiterer öffentlich-rechtlicher Körperschaften sowie des Bundes einschließlich der Gebäude und Einrichtungen von Religionsgemeinschaften, soweit sie Körperschaften des öffentlichen Rechts sind.</w:t>
      </w:r>
    </w:p>
    <w:p>
      <w:r>
        <w:t xml:space="preserve">Aus den Mitteln des Fonds werden Soforthilfen, über die im Jahr 2013 Verwaltungsvereinbarungen zwischen dem Bund und den Ländern geschlossen wurden, erstattet.</w:t>
      </w:r>
    </w:p>
    <w:p>
      <w:r>
        <w:t xml:space="preserve">(3) Bei der Verteilung der Mittel auf Bund, Länder und Gemeinden sowie bei der Gewährung der Hilfen sind die unterschiedlichen Schadensbelastungen der Betroffenen zu berücksichtigen.</w:t>
      </w:r>
    </w:p>
    <w:p>
      <w:r>
        <w:t xml:space="preserve">(4) Die Bundesregierung erlässt mit Zustimmung des Bundesrates eine Rechtsverordnung über die Verteilung und Verwendung der Mittel des Fonds und die Einzelheiten der näheren Durchführung.</w:t>
      </w:r>
    </w:p>
    <w:p>
      <w:r>
        <w:rPr>
          <w:color w:val="555555"/>
          <w:sz w:val="17"/>
        </w:rPr>
        <w:t xml:space="preserve">Zitiervorschlag: § 2 AufbhG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