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AufbewahrungsV (Brandenburg)</w:t>
      </w:r>
    </w:p>
    <w:p>
      <w:r>
        <w:rPr>
          <w:color w:val="555555"/>
          <w:sz w:val="18"/>
        </w:rPr>
        <w:t xml:space="preserve">Verordnung über die Aufbewahrung von Schriftgut der ordentlichen Gerichtsbarkeit, der Staatsanwaltschaften und der Justizvollzugsbehörden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Ablieferung von Schriftgut an das Landeshauptarchiv gelten die dafür erlassenen besonderen Vorschriften.</w:t>
      </w:r>
    </w:p>
    <w:p>
      <w:r>
        <w:rPr>
          <w:color w:val="555555"/>
          <w:sz w:val="17"/>
        </w:rPr>
        <w:t xml:space="preserve">Zitiervorschlag: § 5 AufbewahrungsV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https://recht.nulegal.eu/gesetze/AufbewahrungsV/5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AufbewahrungsV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