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AufbewV (Bayern)</w:t>
      </w:r>
    </w:p>
    <w:p>
      <w:r>
        <w:rPr>
          <w:color w:val="555555"/>
          <w:sz w:val="18"/>
        </w:rPr>
        <w:t xml:space="preserve">Aufbewahrungsverordnung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51b Abs. 1 des Gesetzes zur Ausführung des Gerichtsverfassungsgesetzes und von Verfahrensgesetzen des Bundes – AGGVG – (BayRS 300-1-1-J), zuletzt geändert durch § 2 des Gesetzes vom 22. Dezember 2009 (GVBl S. 632), erlassen das Bayerische Staatsministerium der Justiz und für Verbraucherschutz, das Bayerische Staatsministerium des Innern, das Bayerische Staatsministerium der Finanzen und das Bayerische Staatsministerium für Arbeit und Sozialordnung, Familie und Frauen folgende Verordnung:</w:t>
      </w:r>
    </w:p>
    <w:p>
      <w:r>
        <w:rPr>
          <w:color w:val="555555"/>
          <w:sz w:val="17"/>
        </w:rPr>
        <w:t xml:space="preserve">Zitiervorschlag: Eingangsformel AufbewV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https://recht.nulegal.eu/gesetze/AufbewV/eingangsformel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