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AufbewV (Bayern)</w:t>
      </w:r>
    </w:p>
    <w:p>
      <w:r>
        <w:rPr>
          <w:color w:val="555555"/>
          <w:sz w:val="18"/>
        </w:rPr>
        <w:t xml:space="preserve">Aufbewahrungsverordnung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Ablieferung von Schriftgut an die Staatsarchive gelten die dafür erlassenen besonderen Vorschriften.</w:t>
      </w:r>
    </w:p>
    <w:p>
      <w:r>
        <w:rPr>
          <w:color w:val="555555"/>
          <w:sz w:val="17"/>
        </w:rPr>
        <w:t xml:space="preserve">Zitiervorschlag: § 5 AufbewV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https://recht.nulegal.eu/gesetze/AufbewV/5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