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AufbauhfV — Mittelanforderung</w:t>
      </w:r>
    </w:p>
    <w:p>
      <w:r>
        <w:rPr>
          <w:color w:val="555555"/>
          <w:sz w:val="18"/>
        </w:rPr>
        <w:t xml:space="preserve">Aufbauhilfefondsverordnung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nicht der Bund eigene Maßnahmen und Programme aus den Fondsmitteln zu finanzieren hat und unbeschadet der Regelung des § 4 Abs. 4 Satz 2 des Aufbauhilfefondsgesetzes fordern die Länder für sich und ihre beauftragten Stellen im Rahmen der Ansätze des Wirtschaftsplans des Fonds und nach Maßgabe des Verteilungsschlüssels nach § 1 Abs. 1 die Mittel bedarfsgerecht entsprechend der Abwicklung der Schadensbeseitigungsmaßnahmen beim Bund an.</w:t>
      </w:r>
    </w:p>
    <w:p>
      <w:r>
        <w:t xml:space="preserve">(2) Überzahlungen oder nicht bedarfsgerecht abgeforderte Mittel sind unverzüglich an den Fonds zurückzuzahlen.</w:t>
      </w:r>
    </w:p>
    <w:p>
      <w:r>
        <w:rPr>
          <w:color w:val="555555"/>
          <w:sz w:val="17"/>
        </w:rPr>
        <w:t xml:space="preserve">Zitiervorschlag: § 4 AufbauhfV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https://recht.nulegal.eu/gesetze/AufbauhfV/4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AufbauhfV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