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AufAG — Satzung</w:t>
      </w:r>
    </w:p>
    <w:p>
      <w:r>
        <w:rPr>
          <w:color w:val="555555"/>
          <w:sz w:val="18"/>
        </w:rPr>
        <w:t xml:space="preserve">Aufwendungsausgleichsgesetz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Satzung der Krankenkasse muss insbesondere Bestimmungen enthalten über die</w:t>
      </w:r>
    </w:p>
    <w:p>
      <w:pPr>
        <w:ind w:left="420"/>
      </w:pPr>
      <w:r>
        <w:t xml:space="preserve">1. Höhe der Umlagesätze,</w:t>
      </w:r>
    </w:p>
    <w:p>
      <w:pPr>
        <w:ind w:left="420"/>
      </w:pPr>
      <w:r>
        <w:t xml:space="preserve">2. Bildung von Betriebsmitteln,</w:t>
      </w:r>
    </w:p>
    <w:p>
      <w:pPr>
        <w:ind w:left="420"/>
      </w:pPr>
      <w:r>
        <w:t xml:space="preserve">3. Aufstellung des Haushalts,</w:t>
      </w:r>
    </w:p>
    <w:p>
      <w:pPr>
        <w:ind w:left="420"/>
      </w:pPr>
      <w:r>
        <w:t xml:space="preserve">4. Prüfung und Abnahme des Rechnungsabschlusses.</w:t>
      </w:r>
    </w:p>
    <w:p>
      <w:r>
        <w:t xml:space="preserve">(2) Die Satzung kann</w:t>
      </w:r>
    </w:p>
    <w:p>
      <w:pPr>
        <w:ind w:left="420"/>
      </w:pPr>
      <w:r>
        <w:t xml:space="preserve">1. die Höhe der Erstattung nach § 1 Abs. 1 beschränken und verschiedene Erstattungssätze, die 40 vom Hundert nicht unterschreiten, vorsehen,</w:t>
      </w:r>
    </w:p>
    <w:p>
      <w:pPr>
        <w:ind w:left="420"/>
      </w:pPr>
      <w:r>
        <w:t xml:space="preserve">2. eine pauschale Erstattung des von den Arbeitgebern zu tragenden Teils des Gesamtsozialversicherungsbeitrags für das nach § 18 des Mutterschutzgesetzes gezahlte Arbeitsentgelt vorsehen,</w:t>
      </w:r>
    </w:p>
    <w:p>
      <w:pPr>
        <w:ind w:left="420"/>
      </w:pPr>
      <w:r>
        <w:t xml:space="preserve">3. die Zahlung von Vorschüssen vorsehen,</w:t>
      </w:r>
    </w:p>
    <w:p>
      <w:pPr>
        <w:ind w:left="420"/>
      </w:pPr>
      <w:r>
        <w:t xml:space="preserve">4. (weggefallen)</w:t>
      </w:r>
    </w:p>
    <w:p>
      <w:pPr>
        <w:ind w:left="420"/>
      </w:pPr>
      <w:r>
        <w:t xml:space="preserve">5. die Übertragung nach § 8 Abs. 2 enthalten.</w:t>
      </w:r>
    </w:p>
    <w:p>
      <w:r>
        <w:t xml:space="preserve">(3) Die Betriebsmittel dürfen den Betrag der voraussichtlichen Ausgaben für drei Monate nicht übersteigen.</w:t>
      </w:r>
    </w:p>
    <w:p>
      <w:r>
        <w:t xml:space="preserve">(4) In Angelegenheiten dieses Gesetzes wirken in den Selbstverwaltungsorganen nur die Vertreter der Arbeitgeber mit; die Selbstverwaltungsorgane der Ersatzkassen haben Einvernehmen mit den für die Vertretung der Interessen der Arbeitgeber maßgeblichen Spitzenorganisationen herzustellen.</w:t>
      </w:r>
    </w:p>
    <w:p>
      <w:r>
        <w:t xml:space="preserve">(5) Die Absätze 1 bis 4 gelten auch für die durchführende Krankenkasse oder den Verband nach § 8 Abs. 2 Satz 1.</w:t>
      </w:r>
    </w:p>
    <w:p>
      <w:r>
        <w:rPr>
          <w:color w:val="555555"/>
          <w:sz w:val="17"/>
        </w:rPr>
        <w:t xml:space="preserve">Zitiervorschlag: § 9 AufAG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https://recht.nulegal.eu/gesetze/AufAG/9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