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AufAG — Verwaltung der Mittel</w:t>
      </w:r>
    </w:p>
    <w:p>
      <w:r>
        <w:rPr>
          <w:color w:val="555555"/>
          <w:sz w:val="18"/>
        </w:rPr>
        <w:t xml:space="preserve">Aufwendungsausgleichsgesetz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Krankenkassen verwalten die Mittel für den Ausgleich der Arbeitgeberaufwendungen als Sondervermögen. Die Mittel dürfen nur für die gesetzlich vorgeschriebenen oder zugelassenen Zwecke verwendet werden.</w:t>
      </w:r>
    </w:p>
    <w:p>
      <w:r>
        <w:t xml:space="preserve">(2) Die Krankenkasse kann durch Satzungsregelung die Durchführung der U1- und U2-Verfahren auf eine andere Krankenkasse oder einen Landes- oder Bundesverband übertragen. Der Einzug der Umlagen obliegt weiterhin der übertragenden Krankenkasse, die die von den Arbeitgebern gezahlten Umlagen an die durchführende Krankenkasse oder den Verband weiterzuleiten hat. § 90 des Vierten Buches Sozialgesetzbuch gilt entsprechend.</w:t>
      </w:r>
    </w:p>
    <w:p>
      <w:r>
        <w:rPr>
          <w:color w:val="555555"/>
          <w:sz w:val="17"/>
        </w:rPr>
        <w:t xml:space="preserve">Zitiervorschlag: § 8 AufAG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https://recht.nulegal.eu/gesetze/AufAG/8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