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AufAG — Abtretung</w:t>
      </w:r>
    </w:p>
    <w:p>
      <w:r>
        <w:rPr>
          <w:color w:val="555555"/>
          <w:sz w:val="18"/>
        </w:rPr>
        <w:t xml:space="preserve">Aufwendungsausgleichsgesetz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auf den Arbeitgeber ein Anspruch auf Schadenersatz nach § 6 des Entgeltfortzahlungsgesetzes übergegangen, so ist die Krankenkasse zur Erstattung nur verpflichtet, wenn der Arbeitgeber den auf ihn übergegangenen Anspruch bis zur anteiligen Höhe des Erstattungsbetrags an die Krankenkasse abtritt.</w:t>
      </w:r>
    </w:p>
    <w:p>
      <w:r>
        <w:rPr>
          <w:color w:val="555555"/>
          <w:sz w:val="17"/>
        </w:rPr>
        <w:t xml:space="preserve">Zitiervorschlag: § 5 AufAG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