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AufAG — Freiwilliges Ausgleichsverfahren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Betriebe eines Wirtschaftszweigs können Arbeitgeber Einrichtungen zum Ausgleich der Arbeitgeberaufwendungen errichten, an denen auch Arbeitgeber teilnehmen, die die Voraussetzungen des § 1 nicht erfüllen. Die Errichtung und die Regelung des Ausgleichsverfahrens bedürfen der Genehmigung des Bundesministeriums für Gesundheit.</w:t>
      </w:r>
    </w:p>
    <w:p>
      <w:r>
        <w:t xml:space="preserve">(2) Auf Arbeitgeber, deren Aufwendungen durch eine Einrichtung nach Absatz 1 ausgeglichen werden, finden die Vorschriften dieses Gesetzes keine Anwendung.</w:t>
      </w:r>
    </w:p>
    <w:p>
      <w:r>
        <w:t xml:space="preserve">(3) Körperschaften, Personenvereinigungen und Vermögensmassen im Sinne des § 1 Abs. 1 des Körperschaftsteuergesetzes, die als Einrichtung der in Absatz 1 bezeichneten Art durch das Bundesministerium für Gesundheit genehmigt sind, sind von der Körperschaftsteuer, Gewerbesteuer und Vermögensteuer befreit.</w:t>
      </w:r>
    </w:p>
    <w:p>
      <w:r>
        <w:rPr>
          <w:color w:val="555555"/>
          <w:sz w:val="17"/>
        </w:rPr>
        <w:t xml:space="preserve">Zitiervorschlag: § 12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