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AtVfV — Einwendungen</w:t>
      </w:r>
    </w:p>
    <w:p>
      <w:r>
        <w:rPr>
          <w:color w:val="555555"/>
          <w:sz w:val="18"/>
        </w:rPr>
        <w:t xml:space="preserve">Atomrechtliche 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Einwendungen können während der Auslegungsfrist schriftlich oder zur Niederschrift bei der Genehmigungsbehörde oder der in der Bekanntmachung nach § 5 Abs. 1 Satz 2 Nr. 2 bezeichneten Stelle erhoben werden. Mit Ablauf der Auslegungsfrist werden für das Genehmigungsverfahren alle Einwendungen ausgeschlossen, die nicht auf besonderen privatrechtlichen Titeln beruhen.</w:t>
      </w:r>
    </w:p>
    <w:p>
      <w:r>
        <w:t xml:space="preserve">(2) Der Inhalt der Einwendungen ist dem Antragsteller bekanntzugeben. Den nach § 7 Abs. 4 Satz 1 des Atomgesetzes beteiligten Behörden ist der Inhalt der Einwendungen bekanntzugeben, die ihren Zuständigkeitsbereich berühren.</w:t>
      </w:r>
    </w:p>
    <w:p>
      <w:r>
        <w:rPr>
          <w:color w:val="555555"/>
          <w:sz w:val="17"/>
        </w:rPr>
        <w:t xml:space="preserve">Zitiervorschlag: § 7 AtVfV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https://recht.nulegal.eu/gesetze/AtVfV/7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