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AtVfV — Gegenstand der Umweltverträglichkeitsprüfung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Umweltverträglichkeitsprüfung umfasst die Ermittlung, Beschreibung und Bewertung der für die Prüfung der Zulassungsvoraussetzungen bedeutsamen Auswirkungen eines UVP-pflichtigen Vorhabens auf</w:t>
      </w:r>
    </w:p>
    <w:p>
      <w:pPr>
        <w:ind w:left="420"/>
      </w:pPr>
      <w:r>
        <w:t xml:space="preserve">1. Menschen, insbesondere die menschliche Gesundheit,</w:t>
      </w:r>
    </w:p>
    <w:p>
      <w:pPr>
        <w:ind w:left="420"/>
      </w:pPr>
      <w:r>
        <w:t xml:space="preserve">2. Tiere, Pflanzen und die biologische Vielfalt,</w:t>
      </w:r>
    </w:p>
    <w:p>
      <w:pPr>
        <w:ind w:left="420"/>
      </w:pPr>
      <w:r>
        <w:t xml:space="preserve">3. Fläche, Boden, Wasser, Luft, Klima und Landschaft,</w:t>
      </w:r>
    </w:p>
    <w:p>
      <w:pPr>
        <w:ind w:left="420"/>
      </w:pPr>
      <w:r>
        <w:t xml:space="preserve">4. kulturelles Erbe und sonstige Sachgüter sowie</w:t>
      </w:r>
    </w:p>
    <w:p>
      <w:pPr>
        <w:ind w:left="420"/>
      </w:pPr>
      <w:r>
        <w:t xml:space="preserve">5. die Wechselwirkungen zwischen den in den Nummern 1 bis 4 genannten Schutzgütern.</w:t>
      </w:r>
    </w:p>
    <w:p>
      <w:r>
        <w:t xml:space="preserve">§ 2 Absatz 2 des Gesetzes über die Umweltverträglichkeitsprüfung bleibt unberührt.</w:t>
      </w:r>
    </w:p>
    <w:p>
      <w:r>
        <w:rPr>
          <w:color w:val="555555"/>
          <w:sz w:val="17"/>
        </w:rPr>
        <w:t xml:space="preserve">Zitiervorschlag: § 1a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