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19a AtVfV — Raumverträglichkeitsprüfung und Genehmigungsverfahren</w:t>
      </w:r>
    </w:p>
    <w:p>
      <w:r>
        <w:rPr>
          <w:color w:val="555555"/>
          <w:sz w:val="18"/>
        </w:rPr>
        <w:t xml:space="preserve">Atomrechtliche Verfahrensverordnung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Die Genehmigungsbehörde hat die bei der Raumverträglichkeitsprüfung nach § 15 des Raumordnungsgesetzes überschlägig geprüften Auswirkungen eines UVP-pflichtigen Vorhabens auf die Umwelt nach Maßgabe des § 14a Absatz 2 bei der Entscheidung über den Antrag zu berücksichtigen.</w:t>
      </w:r>
    </w:p>
    <w:p>
      <w:r>
        <w:rPr>
          <w:color w:val="555555"/>
          <w:sz w:val="17"/>
        </w:rPr>
        <w:t xml:space="preserve">Zitiervorschlag: § 19a AtVfV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https://recht.nulegal.eu/gesetze/AtVfV/19a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