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AtVfV — Vorbescheid</w:t>
      </w:r>
    </w:p>
    <w:p>
      <w:r>
        <w:rPr>
          <w:color w:val="555555"/>
          <w:sz w:val="18"/>
        </w:rPr>
        <w:t xml:space="preserve">Atomrechtliche 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Erteilung eines Vorbescheides ist schriftlich bei der Genehmigungsbehörde des Landes zu stellen, in dem das Vorhaben ausgeführt werden soll.</w:t>
      </w:r>
    </w:p>
    <w:p>
      <w:r>
        <w:t xml:space="preserve">(2) Bei nicht standortbezogenen Anträgen hat die Genehmigungsbehörde das Vorhaben in ihrem amtlichen Verkündungsblatt, im Bundesanzeiger sowie in geeigneten Tageszeitungen bekanntzumachen.</w:t>
      </w:r>
    </w:p>
    <w:p>
      <w:r>
        <w:t xml:space="preserve">(3) Der Vorbescheid muß enthalten</w:t>
      </w:r>
    </w:p>
    <w:p>
      <w:pPr>
        <w:ind w:left="420"/>
      </w:pPr>
      <w:r>
        <w:t xml:space="preserve">1. die Angabe des Namens und des Wohnsitzes oder Sitzes des Antragstellers,</w:t>
      </w:r>
    </w:p>
    <w:p>
      <w:pPr>
        <w:ind w:left="420"/>
      </w:pPr>
      <w:r>
        <w:t xml:space="preserve">2. die Angabe, daß ein Vorbescheid erteilt wird, und die Angabe der Rechtsgrundlage,</w:t>
      </w:r>
    </w:p>
    <w:p>
      <w:pPr>
        <w:ind w:left="420"/>
      </w:pPr>
      <w:r>
        <w:t xml:space="preserve">3. die genaue Bezeichnung des Gegenstandes des Vorbescheides,</w:t>
      </w:r>
    </w:p>
    <w:p>
      <w:pPr>
        <w:ind w:left="420"/>
      </w:pPr>
      <w:r>
        <w:t xml:space="preserve">4. die Voraussetzungen und Vorbehalte, unter denen der Vorbescheid erteilt wird,</w:t>
      </w:r>
    </w:p>
    <w:p>
      <w:pPr>
        <w:ind w:left="420"/>
      </w:pPr>
      <w:r>
        <w:t xml:space="preserve">5. die Begründung, aus der die wesentlichen tatsächlichen und rechtlichen Gründe, die die Behörde zu ihrer Entscheidung bewogen haben, und die Behandlung der erhobenen Einwendungen hervorgehen sollen.</w:t>
      </w:r>
    </w:p>
    <w:p>
      <w:r>
        <w:t xml:space="preserve">(4) Der Vorbescheid soll enthalten</w:t>
      </w:r>
    </w:p>
    <w:p>
      <w:pPr>
        <w:ind w:left="420"/>
      </w:pPr>
      <w:r>
        <w:t xml:space="preserve">1. den Hinweis auf § 7a Abs. 1 Satz 2 des Atomgesetzes,</w:t>
      </w:r>
    </w:p>
    <w:p>
      <w:pPr>
        <w:ind w:left="420"/>
      </w:pPr>
      <w:r>
        <w:t xml:space="preserve">2. den Hinweis, daß der Vorbescheid nicht zur Errichtung der Anlage oder von Teilen der Anlage berechtigt,</w:t>
      </w:r>
    </w:p>
    <w:p>
      <w:pPr>
        <w:ind w:left="420"/>
      </w:pPr>
      <w:r>
        <w:t xml:space="preserve">3. den Hinweis, daß der Vorbescheid unbeschadet der behördlichen Entscheidungen ergeht, die für das Gesamtvorhaben auf Grund anderer öffentlich-rechtlicher Vorschriften erforderlich sind, und</w:t>
      </w:r>
    </w:p>
    <w:p>
      <w:pPr>
        <w:ind w:left="420"/>
      </w:pPr>
      <w:r>
        <w:t xml:space="preserve">4. die Rechtsbehelfsbelehrung.</w:t>
      </w:r>
    </w:p>
    <w:p>
      <w:r>
        <w:t xml:space="preserve">(5) § 18 Abs. 2 und 3 gilt entsprechend.</w:t>
      </w:r>
    </w:p>
    <w:p>
      <w:r>
        <w:rPr>
          <w:color w:val="555555"/>
          <w:sz w:val="17"/>
        </w:rPr>
        <w:t xml:space="preserve">Zitiervorschlag: § 19 AtVfV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https://recht.nulegal.eu/gesetze/AtVfV/19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