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AtVfV — Verlegung</w:t>
      </w:r>
    </w:p>
    <w:p>
      <w:r>
        <w:rPr>
          <w:color w:val="555555"/>
          <w:sz w:val="18"/>
        </w:rPr>
        <w:t xml:space="preserve">Atomrechtliche Verfahrensverordnung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Genehmigungsbehörde kann den bekanntgemachten Erörterungstermin verlegen, wenn dies im Hinblick auf dessen zweckgerechte Durchführung erforderlich ist. Ort und Zeit des neuen Erörterungstermins sind zum frühestmöglichen Zeitpunkt zu bestimmen.</w:t>
      </w:r>
    </w:p>
    <w:p>
      <w:r>
        <w:t xml:space="preserve">(2) Der Antragsteller und diejenigen, die rechtzeitig Einwendungen erhoben haben, sind von der Verlegung des Erörterungstermins zu benachrichtigen. Sie können in entsprechender Anwendung des § 4 Abs. 1 durch öffentliche Bekanntmachung benachrichtigt werden.</w:t>
      </w:r>
    </w:p>
    <w:p>
      <w:r>
        <w:rPr>
          <w:color w:val="555555"/>
          <w:sz w:val="17"/>
        </w:rPr>
        <w:t xml:space="preserve">Zitiervorschlag: § 11 AtVfV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https://recht.nulegal.eu/gesetze/AtVfV/11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