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AtSMV</w:t>
      </w:r>
    </w:p>
    <w:p>
      <w:r>
        <w:rPr>
          <w:color w:val="555555"/>
          <w:sz w:val="18"/>
        </w:rPr>
        <w:t xml:space="preserve">Atomrechtliche Sicherheitsbeauftragten- und 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Abs. 1 Satz 1 Nr. 1, 7 und 13 und des § 54 Abs. 1 Satz 1 und Abs. 2 Satz 1 des Atomgesetzes in der Fassung der Bekanntmachung vom 15. Juli 1985 (BGBl. I S. 1565), § 54 Abs. 1 Satz 1 geändert durch Artikel 2 des Gesetzes vom 9. Oktober 1989 (BGBl. I S. 1830), verordnet die Bundesregierung:</w:t>
      </w:r>
    </w:p>
    <w:p>
      <w:r>
        <w:rPr>
          <w:color w:val="555555"/>
          <w:sz w:val="17"/>
        </w:rPr>
        <w:t xml:space="preserve">Zitiervorschlag: Eingangsformel AtSMV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https://recht.nulegal.eu/gesetze/AtSMV/eingangsformel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