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AtSMV — Meldeverfahren</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(1) Meldepflichtige Ereignisse sind zu melden</w:t>
      </w:r>
    </w:p>
    <w:p>
      <w:pPr>
        <w:ind w:left="420"/>
      </w:pPr>
      <w:r>
        <w:t xml:space="preserve">1. Kategorie S: unverzüglich nach Kenntnis fernmündlich und schriftlich durch fernmeldemäßige Übertragung; spätestens am fünften Werktag nach Kenntnis Ergänzung und erforderlichenfalls Berichtigung der Meldung mittels Meldeformular;</w:t>
      </w:r>
    </w:p>
    <w:p>
      <w:pPr>
        <w:ind w:left="420"/>
      </w:pPr>
      <w:r>
        <w:t xml:space="preserve">2. Kategorie E: spätestens 24 Stunden nach Kenntnis fernmündlich und schriftlich durch fernmeldemäßige Übertragung; spätestens am fünften Werktag nach Kenntnis Ergänzung und erforderlichenfalls Berichtigung der Meldung mittels Meldeformular;</w:t>
      </w:r>
    </w:p>
    <w:p>
      <w:pPr>
        <w:ind w:left="420"/>
      </w:pPr>
      <w:r>
        <w:t xml:space="preserve">3. Kategorie N: spätestens am fünften Werktag nach Kenntnis mittels Meldeformular;</w:t>
      </w:r>
    </w:p>
    <w:p>
      <w:pPr>
        <w:ind w:left="420"/>
      </w:pPr>
      <w:r>
        <w:t xml:space="preserve">4. Kategorie V: spätestens am zehnten Werktag nach Kenntnis mittels Meldeformular.</w:t>
      </w:r>
    </w:p>
    <w:p>
      <w:r>
        <w:t xml:space="preserve">Die Aufsichtsbehörde kann nähere Anordnungen über die Meldung treffen.</w:t>
      </w:r>
    </w:p>
    <w:p>
      <w:r>
        <w:t xml:space="preserve">(2) Können innerhalb der Frist für die schriftliche Meldung mittels Meldeformular nicht alle erforderlichen Angaben gemacht werden, ist die Meldung als vorläufig zu kennzeichnen. Sobald die fehlenden Daten bekannt sind, ist der Aufsichtsbehörde eine vervollständigte und als endgültig gekennzeichnete Meldung vorzulegen. Die endgültige Meldung ist spätestens zwei Jahre nach der vorläufigen Meldung vorzulegen, es sei denn, die Aufsichtsbehörde hat wegen fehlender Daten einer späteren Vorlage zugestimmt.</w:t>
      </w:r>
    </w:p>
    <w:p>
      <w:r>
        <w:t xml:space="preserve">(3) Die Einstufung in die in Absatz 1 Satz 1 genannten Kategorien und die Zuordnung zu den in den Anlagen 1 bis 5 aufgeführten Meldekriterien ist auf Grundlage der bei Erstattung der Meldung bekannten Tatsachen vorzunehmen. Die Meldefrist beginnt, sobald der Meldepflichtige Kenntnis der Tatsachen erlangt, die objektiv die Meldepflicht begründen.</w:t>
      </w:r>
    </w:p>
    <w:p>
      <w:r>
        <w:t xml:space="preserve">(4) Erfüllt ein meldepflichtiges Ereignis mehrere der in den Anlagen 1 bis 5 unter verschiedenen Nummern aufgeführten Meldekriterien, sind alle erfüllten Meldekriterien anzugeben; in den Fällen des Absatzes 2 spätestens in der endgültigen schriftlichen Meldung.</w:t>
      </w:r>
    </w:p>
    <w:p>
      <w:r>
        <w:t xml:space="preserve">(5) Sind die anzugebenden Meldekriterien mehreren Kategorien nach Absatz 1 Satz 1 zugeordnet, richten sich Form und Frist der Meldung nach der Kategorie mit der kürzesten Meldefrist.</w:t>
      </w:r>
    </w:p>
    <w:p>
      <w:r>
        <w:t xml:space="preserve">(6) Zu einem meldepflichtigen Ereignis gehören auch:</w:t>
      </w:r>
    </w:p>
    <w:p>
      <w:pPr>
        <w:ind w:left="420"/>
      </w:pPr>
      <w:r>
        <w:t xml:space="preserve">1. alle Ereignisse, die durch das erste Ereignis verursacht werden (Folgeereignisse) sowie</w:t>
      </w:r>
    </w:p>
    <w:p>
      <w:pPr>
        <w:ind w:left="420"/>
      </w:pPr>
      <w:r>
        <w:t xml:space="preserve">2. alle gleichartigen Ausfälle, Schäden, Funktionsstörungen oder Befunde an gleichartigen Einrichtungen, Systemen oder Anlagenteilen, die bei Untersuchungen zu diesem Ereignis festgestellt werden.</w:t>
      </w:r>
    </w:p>
    <w:p>
      <w:r>
        <w:t xml:space="preserve">(7) Stellt sich nach Kenntnis aller relevanten Tatsachen heraus, dass ein gemeldetes Ereignis nicht meldepflichtig war, teilt der Meldepflichtige dies der Aufsichtsbehörde unter Angabe der hierfür maßgeblichen Tatsachen schriftlich mit.</w:t>
      </w:r>
    </w:p>
    <w:p>
      <w:r>
        <w:rPr>
          <w:color w:val="555555"/>
          <w:sz w:val="17"/>
        </w:rPr>
        <w:t xml:space="preserve">Zitiervorschlag: § 8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