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AtSMV — Stellung des Sicherheitsbeauftragten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Sicherheitsbeauftragte darf bei der Erfüllung seiner Aufgaben nicht behindert und wegen seiner Tätigkeit nicht benachteiligt werden.</w:t>
      </w:r>
    </w:p>
    <w:p>
      <w:r>
        <w:t xml:space="preserve">(1a) Der Betreiber hat durch innerbetriebliche Organisationsmaßnahmen sicherzustellen, dass der Sicherheitsbeauftragte keine Funktionen mit direkter Produktionsverantwortung wahrnimmt.</w:t>
      </w:r>
    </w:p>
    <w:p>
      <w:r>
        <w:t xml:space="preserve">(2) Der Betreiber hat durch innerbetriebliche Organisationsmaßnahmen sicherzustellen, daß der Sicherheitsbeauftragte seine Vorschläge und Bedenken unmittelbar der Geschäftsleitung vortragen kann, wenn er sich mit dem Leiter der Anlage nicht einigen konnte und er wegen der besonderen Bedeutung der Sache eine Entscheidung der Geschäftsleitung für erforderlich hält. Kann sich der Sicherheitsbeauftragte über eine von ihm vorgeschlagene Maßnahme zur kerntechnischen Sicherheit mit der Geschäftsleitung nicht einigen, so hat diese dem Sicherheitsbeauftragten die Ablehnung des Vorschlags schriftlich mitzuteilen und zu begründen. Sie hat dem Betriebs- oder Personalrat und der Aufsichtsbehörde je eine Abschrift zu übersenden.</w:t>
      </w:r>
    </w:p>
    <w:p>
      <w:r>
        <w:t xml:space="preserve">(3) Die Stellung des Sicherheitsbeauftragten und seine Aufgaben gemäß § 4 sind im einzelnen im Betriebshandbuch festzulegen.</w:t>
      </w:r>
    </w:p>
    <w:p>
      <w:r>
        <w:rPr>
          <w:color w:val="555555"/>
          <w:sz w:val="17"/>
        </w:rPr>
        <w:t xml:space="preserve">Zitiervorschlag: § 5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